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335" w:rsidRPr="00AE25E6" w:rsidRDefault="002C0335">
      <w:pPr>
        <w:rPr>
          <w:rFonts w:cs="Times New Roman"/>
          <w:sz w:val="23"/>
          <w:szCs w:val="23"/>
        </w:rPr>
      </w:pPr>
      <w:r w:rsidRPr="00B26066">
        <w:rPr>
          <w:rFonts w:cs="Times New Roman"/>
          <w:b/>
          <w:sz w:val="23"/>
          <w:szCs w:val="23"/>
        </w:rPr>
        <w:t>T</w:t>
      </w:r>
      <w:r w:rsidR="00DD46B6" w:rsidRPr="00B26066">
        <w:rPr>
          <w:rFonts w:cs="Times New Roman"/>
          <w:b/>
          <w:sz w:val="23"/>
          <w:szCs w:val="23"/>
        </w:rPr>
        <w:t>o:</w:t>
      </w:r>
      <w:r w:rsidR="00DD46B6" w:rsidRPr="00AE25E6">
        <w:rPr>
          <w:rFonts w:cs="Times New Roman"/>
          <w:sz w:val="23"/>
          <w:szCs w:val="23"/>
        </w:rPr>
        <w:t xml:space="preserve"> </w:t>
      </w:r>
      <w:r w:rsidR="00DD46B6" w:rsidRPr="00AE25E6">
        <w:rPr>
          <w:rFonts w:cs="Times New Roman"/>
          <w:sz w:val="23"/>
          <w:szCs w:val="23"/>
        </w:rPr>
        <w:tab/>
        <w:t xml:space="preserve">Attorney General Liz </w:t>
      </w:r>
      <w:proofErr w:type="spellStart"/>
      <w:r w:rsidR="00DD46B6" w:rsidRPr="00AE25E6">
        <w:rPr>
          <w:rFonts w:cs="Times New Roman"/>
          <w:sz w:val="23"/>
          <w:szCs w:val="23"/>
        </w:rPr>
        <w:t>Murrill</w:t>
      </w:r>
      <w:proofErr w:type="spellEnd"/>
    </w:p>
    <w:p w:rsidR="002C0335" w:rsidRPr="00AE25E6" w:rsidRDefault="002C0335">
      <w:pPr>
        <w:rPr>
          <w:rFonts w:cs="Times New Roman"/>
          <w:sz w:val="23"/>
          <w:szCs w:val="23"/>
        </w:rPr>
      </w:pPr>
      <w:r w:rsidRPr="00AE25E6">
        <w:rPr>
          <w:rFonts w:cs="Times New Roman"/>
          <w:sz w:val="23"/>
          <w:szCs w:val="23"/>
        </w:rPr>
        <w:tab/>
        <w:t>Attn: Department of Justice, Occupational Licensing Review Program</w:t>
      </w:r>
    </w:p>
    <w:p w:rsidR="002C0335" w:rsidRPr="00AE25E6" w:rsidRDefault="002C0335">
      <w:pPr>
        <w:rPr>
          <w:rFonts w:cs="Times New Roman"/>
          <w:sz w:val="23"/>
          <w:szCs w:val="23"/>
        </w:rPr>
      </w:pPr>
      <w:r w:rsidRPr="00B26066">
        <w:rPr>
          <w:rFonts w:cs="Times New Roman"/>
          <w:b/>
          <w:sz w:val="23"/>
          <w:szCs w:val="23"/>
        </w:rPr>
        <w:t>From:</w:t>
      </w:r>
      <w:r w:rsidRPr="00AE25E6">
        <w:rPr>
          <w:rFonts w:cs="Times New Roman"/>
          <w:sz w:val="23"/>
          <w:szCs w:val="23"/>
        </w:rPr>
        <w:t xml:space="preserve"> </w:t>
      </w:r>
      <w:r w:rsidRPr="00AE25E6">
        <w:rPr>
          <w:rFonts w:cs="Times New Roman"/>
          <w:sz w:val="23"/>
          <w:szCs w:val="23"/>
        </w:rPr>
        <w:tab/>
      </w:r>
      <w:r w:rsidR="00F631A0" w:rsidRPr="00AE25E6">
        <w:rPr>
          <w:rFonts w:cs="Times New Roman"/>
          <w:sz w:val="23"/>
          <w:szCs w:val="23"/>
        </w:rPr>
        <w:t>Jana Broussard</w:t>
      </w:r>
      <w:r w:rsidRPr="00AE25E6">
        <w:rPr>
          <w:rFonts w:cs="Times New Roman"/>
          <w:sz w:val="23"/>
          <w:szCs w:val="23"/>
        </w:rPr>
        <w:t xml:space="preserve"> </w:t>
      </w:r>
    </w:p>
    <w:p w:rsidR="002C0335" w:rsidRPr="00AE25E6" w:rsidRDefault="00F631A0">
      <w:pPr>
        <w:rPr>
          <w:rFonts w:cs="Times New Roman"/>
          <w:sz w:val="23"/>
          <w:szCs w:val="23"/>
        </w:rPr>
      </w:pPr>
      <w:r w:rsidRPr="00AE25E6">
        <w:rPr>
          <w:rFonts w:cs="Times New Roman"/>
          <w:sz w:val="23"/>
          <w:szCs w:val="23"/>
        </w:rPr>
        <w:tab/>
        <w:t>Acting Executive Director</w:t>
      </w:r>
      <w:r w:rsidR="002C0335" w:rsidRPr="00AE25E6">
        <w:rPr>
          <w:rFonts w:cs="Times New Roman"/>
          <w:sz w:val="23"/>
          <w:szCs w:val="23"/>
        </w:rPr>
        <w:t xml:space="preserve">, </w:t>
      </w:r>
      <w:r w:rsidRPr="00AE25E6">
        <w:rPr>
          <w:rFonts w:cs="Times New Roman"/>
          <w:sz w:val="23"/>
          <w:szCs w:val="23"/>
        </w:rPr>
        <w:t>Louisiana Commission for the Deaf</w:t>
      </w:r>
    </w:p>
    <w:p w:rsidR="002C0335" w:rsidRPr="00AE25E6" w:rsidRDefault="002C0335">
      <w:pPr>
        <w:rPr>
          <w:rFonts w:cs="Times New Roman"/>
          <w:sz w:val="23"/>
          <w:szCs w:val="23"/>
        </w:rPr>
      </w:pPr>
      <w:r w:rsidRPr="00B26066">
        <w:rPr>
          <w:rFonts w:cs="Times New Roman"/>
          <w:b/>
          <w:sz w:val="23"/>
          <w:szCs w:val="23"/>
        </w:rPr>
        <w:t xml:space="preserve">Date: </w:t>
      </w:r>
      <w:r w:rsidRPr="00B26066">
        <w:rPr>
          <w:rFonts w:cs="Times New Roman"/>
          <w:b/>
          <w:sz w:val="23"/>
          <w:szCs w:val="23"/>
        </w:rPr>
        <w:tab/>
      </w:r>
      <w:r w:rsidR="00851386">
        <w:rPr>
          <w:rFonts w:cs="Times New Roman"/>
          <w:sz w:val="23"/>
          <w:szCs w:val="23"/>
        </w:rPr>
        <w:t xml:space="preserve">November 14, 2025 </w:t>
      </w:r>
    </w:p>
    <w:p w:rsidR="002C0335" w:rsidRPr="00AE25E6" w:rsidRDefault="002C0335">
      <w:pPr>
        <w:rPr>
          <w:rFonts w:cs="Times New Roman"/>
          <w:sz w:val="23"/>
          <w:szCs w:val="23"/>
        </w:rPr>
      </w:pPr>
      <w:r w:rsidRPr="00B26066">
        <w:rPr>
          <w:rFonts w:cs="Times New Roman"/>
          <w:b/>
          <w:sz w:val="23"/>
          <w:szCs w:val="23"/>
        </w:rPr>
        <w:t>Subject:</w:t>
      </w:r>
      <w:r w:rsidRPr="00AE25E6">
        <w:rPr>
          <w:rFonts w:cs="Times New Roman"/>
          <w:sz w:val="23"/>
          <w:szCs w:val="23"/>
        </w:rPr>
        <w:t xml:space="preserve"> </w:t>
      </w:r>
      <w:r w:rsidR="00AA5AE3" w:rsidRPr="00AE25E6">
        <w:rPr>
          <w:rFonts w:cs="Times New Roman"/>
          <w:sz w:val="23"/>
          <w:szCs w:val="23"/>
        </w:rPr>
        <w:t>Pursuant to R.S. 46:2353, the Louisiana Commission for the Deaf adopts LAC 46: LXXII to provide standards and regulations for registered Sign Language Interpreters.</w:t>
      </w:r>
    </w:p>
    <w:p w:rsidR="00BC69FD" w:rsidRPr="00AE25E6" w:rsidRDefault="002C0335">
      <w:pPr>
        <w:rPr>
          <w:rFonts w:cs="Times New Roman"/>
          <w:sz w:val="23"/>
          <w:szCs w:val="23"/>
        </w:rPr>
      </w:pPr>
      <w:r w:rsidRPr="00AE25E6">
        <w:rPr>
          <w:rFonts w:cs="Times New Roman"/>
          <w:sz w:val="23"/>
          <w:szCs w:val="23"/>
        </w:rPr>
        <w:t xml:space="preserve">The </w:t>
      </w:r>
      <w:r w:rsidR="00AA5AE3" w:rsidRPr="00AE25E6">
        <w:rPr>
          <w:rFonts w:cs="Times New Roman"/>
          <w:sz w:val="23"/>
          <w:szCs w:val="23"/>
        </w:rPr>
        <w:t>Louisiana Commission for the Deaf</w:t>
      </w:r>
      <w:r w:rsidR="00644076" w:rsidRPr="00AE25E6">
        <w:rPr>
          <w:rFonts w:cs="Times New Roman"/>
          <w:sz w:val="23"/>
          <w:szCs w:val="23"/>
        </w:rPr>
        <w:t xml:space="preserve"> </w:t>
      </w:r>
      <w:r w:rsidRPr="00AE25E6">
        <w:rPr>
          <w:rFonts w:cs="Times New Roman"/>
          <w:sz w:val="23"/>
          <w:szCs w:val="23"/>
        </w:rPr>
        <w:t>has prop</w:t>
      </w:r>
      <w:r w:rsidR="00EB0487">
        <w:rPr>
          <w:rFonts w:cs="Times New Roman"/>
          <w:sz w:val="23"/>
          <w:szCs w:val="23"/>
        </w:rPr>
        <w:t>osed LAC 46: LXXI t</w:t>
      </w:r>
      <w:r w:rsidRPr="00AE25E6">
        <w:rPr>
          <w:rFonts w:cs="Times New Roman"/>
          <w:sz w:val="23"/>
          <w:szCs w:val="23"/>
        </w:rPr>
        <w:t xml:space="preserve">o facilitate the Department of Justice’s review of the proposed rule, </w:t>
      </w:r>
      <w:r w:rsidR="00AA5AE3" w:rsidRPr="00AE25E6">
        <w:rPr>
          <w:rFonts w:cs="Times New Roman"/>
          <w:sz w:val="23"/>
          <w:szCs w:val="23"/>
        </w:rPr>
        <w:t xml:space="preserve">the Louisiana Commission for the Deaf </w:t>
      </w:r>
      <w:r w:rsidR="00EB0487">
        <w:rPr>
          <w:rFonts w:cs="Times New Roman"/>
          <w:sz w:val="23"/>
          <w:szCs w:val="23"/>
        </w:rPr>
        <w:t xml:space="preserve">has provided the following responses to the questions below: </w:t>
      </w:r>
    </w:p>
    <w:p w:rsidR="00B164B7" w:rsidRPr="007D01FD" w:rsidRDefault="00B164B7" w:rsidP="00AA5AE3">
      <w:pPr>
        <w:pStyle w:val="ListParagraph"/>
        <w:numPr>
          <w:ilvl w:val="0"/>
          <w:numId w:val="3"/>
        </w:numPr>
        <w:rPr>
          <w:rFonts w:cs="Times New Roman"/>
          <w:b/>
          <w:sz w:val="23"/>
          <w:szCs w:val="23"/>
        </w:rPr>
      </w:pPr>
      <w:proofErr w:type="gramStart"/>
      <w:r w:rsidRPr="007D01FD">
        <w:rPr>
          <w:rFonts w:cs="Times New Roman"/>
          <w:b/>
          <w:sz w:val="23"/>
          <w:szCs w:val="23"/>
        </w:rPr>
        <w:t>Describe any relevant factual background to the occupational regulation and</w:t>
      </w:r>
      <w:r w:rsidR="002C0335" w:rsidRPr="007D01FD">
        <w:rPr>
          <w:rFonts w:cs="Times New Roman"/>
          <w:b/>
          <w:sz w:val="23"/>
          <w:szCs w:val="23"/>
        </w:rPr>
        <w:t xml:space="preserve"> the purpose of the </w:t>
      </w:r>
      <w:r w:rsidRPr="007D01FD">
        <w:rPr>
          <w:rFonts w:cs="Times New Roman"/>
          <w:b/>
          <w:sz w:val="23"/>
          <w:szCs w:val="23"/>
        </w:rPr>
        <w:t>occupational regulation</w:t>
      </w:r>
      <w:r w:rsidR="002C0335" w:rsidRPr="007D01FD">
        <w:rPr>
          <w:rFonts w:cs="Times New Roman"/>
          <w:b/>
          <w:sz w:val="23"/>
          <w:szCs w:val="23"/>
        </w:rPr>
        <w:t>?</w:t>
      </w:r>
      <w:proofErr w:type="gramEnd"/>
      <w:r w:rsidR="002C0335" w:rsidRPr="007D01FD">
        <w:rPr>
          <w:rFonts w:cs="Times New Roman"/>
          <w:b/>
          <w:sz w:val="23"/>
          <w:szCs w:val="23"/>
        </w:rPr>
        <w:t xml:space="preserve"> </w:t>
      </w:r>
    </w:p>
    <w:p w:rsidR="00301C51" w:rsidRPr="00AE25E6" w:rsidRDefault="00A53545" w:rsidP="00A53545">
      <w:pPr>
        <w:pStyle w:val="Default"/>
        <w:ind w:left="720"/>
        <w:rPr>
          <w:rFonts w:asciiTheme="minorHAnsi" w:hAnsiTheme="minorHAnsi"/>
          <w:sz w:val="23"/>
          <w:szCs w:val="23"/>
        </w:rPr>
      </w:pPr>
      <w:r w:rsidRPr="00AE25E6">
        <w:rPr>
          <w:rFonts w:asciiTheme="minorHAnsi" w:hAnsiTheme="minorHAnsi"/>
          <w:sz w:val="23"/>
          <w:szCs w:val="23"/>
        </w:rPr>
        <w:t xml:space="preserve">ACT 128 of the 2022 Regular Session of the Louisiana Legislature amended R.S. 46:2351-2355 relative to the functions of the Louisiana Commission for the Deaf and required the Louisiana Department of Health (LDH) to promulgate administrative rules establishing requirements for Sign Language Interpreters practicing </w:t>
      </w:r>
      <w:r w:rsidR="000168EE">
        <w:rPr>
          <w:rFonts w:asciiTheme="minorHAnsi" w:hAnsiTheme="minorHAnsi"/>
          <w:sz w:val="23"/>
          <w:szCs w:val="23"/>
        </w:rPr>
        <w:t>in the state. This mandate was e</w:t>
      </w:r>
      <w:r w:rsidRPr="00AE25E6">
        <w:rPr>
          <w:rFonts w:asciiTheme="minorHAnsi" w:hAnsiTheme="minorHAnsi"/>
          <w:sz w:val="23"/>
          <w:szCs w:val="23"/>
        </w:rPr>
        <w:t>nacted for the purpose of protecting the general welfare of individuals who are d/Deaf, DeafBlind or hard of hearing from unqualified persons serving as sign language interpreters in educational, legal, medical, or other general settings.  Per the Americans with Disabilities Act, Title</w:t>
      </w:r>
      <w:r w:rsidR="008E5E31">
        <w:rPr>
          <w:rFonts w:asciiTheme="minorHAnsi" w:hAnsiTheme="minorHAnsi"/>
          <w:sz w:val="23"/>
          <w:szCs w:val="23"/>
        </w:rPr>
        <w:t>s</w:t>
      </w:r>
      <w:r w:rsidRPr="00AE25E6">
        <w:rPr>
          <w:rFonts w:asciiTheme="minorHAnsi" w:hAnsiTheme="minorHAnsi"/>
          <w:sz w:val="23"/>
          <w:szCs w:val="23"/>
        </w:rPr>
        <w:t xml:space="preserve"> II and III</w:t>
      </w:r>
      <w:r w:rsidR="008E5E31">
        <w:rPr>
          <w:rFonts w:asciiTheme="minorHAnsi" w:hAnsiTheme="minorHAnsi"/>
          <w:sz w:val="23"/>
          <w:szCs w:val="23"/>
        </w:rPr>
        <w:t>,</w:t>
      </w:r>
      <w:r w:rsidRPr="00AE25E6">
        <w:rPr>
          <w:rFonts w:asciiTheme="minorHAnsi" w:hAnsiTheme="minorHAnsi"/>
          <w:sz w:val="23"/>
          <w:szCs w:val="23"/>
        </w:rPr>
        <w:t xml:space="preserve"> entities are required to provide effective communication </w:t>
      </w:r>
      <w:r w:rsidR="00301C51" w:rsidRPr="00AE25E6">
        <w:rPr>
          <w:rFonts w:asciiTheme="minorHAnsi" w:hAnsiTheme="minorHAnsi"/>
          <w:sz w:val="23"/>
          <w:szCs w:val="23"/>
        </w:rPr>
        <w:t xml:space="preserve">though sign language interpreters </w:t>
      </w:r>
      <w:r w:rsidRPr="00AE25E6">
        <w:rPr>
          <w:rFonts w:asciiTheme="minorHAnsi" w:hAnsiTheme="minorHAnsi"/>
          <w:sz w:val="23"/>
          <w:szCs w:val="23"/>
        </w:rPr>
        <w:t xml:space="preserve">to individuals who are d/Deaf, DeafBlind or hard of hearing and use sign language to communicate.  </w:t>
      </w:r>
    </w:p>
    <w:p w:rsidR="00301C51" w:rsidRPr="00AE25E6" w:rsidRDefault="00301C51" w:rsidP="00A53545">
      <w:pPr>
        <w:pStyle w:val="Default"/>
        <w:ind w:left="720"/>
        <w:rPr>
          <w:rFonts w:asciiTheme="minorHAnsi" w:hAnsiTheme="minorHAnsi"/>
          <w:sz w:val="23"/>
          <w:szCs w:val="23"/>
        </w:rPr>
      </w:pPr>
    </w:p>
    <w:p w:rsidR="00AA5AE3" w:rsidRPr="00AE25E6" w:rsidRDefault="00301C51" w:rsidP="00AA5AE3">
      <w:pPr>
        <w:pStyle w:val="ListParagraph"/>
        <w:rPr>
          <w:sz w:val="23"/>
          <w:szCs w:val="23"/>
        </w:rPr>
      </w:pPr>
      <w:r w:rsidRPr="00AE25E6">
        <w:rPr>
          <w:sz w:val="23"/>
          <w:szCs w:val="23"/>
        </w:rPr>
        <w:t>The professional credentialing of sign language interpreters is vital to promot</w:t>
      </w:r>
      <w:r w:rsidR="008E5E31">
        <w:rPr>
          <w:sz w:val="23"/>
          <w:szCs w:val="23"/>
        </w:rPr>
        <w:t>e</w:t>
      </w:r>
      <w:r w:rsidRPr="00AE25E6">
        <w:rPr>
          <w:sz w:val="23"/>
          <w:szCs w:val="23"/>
        </w:rPr>
        <w:t xml:space="preserve"> the general welfare of individuals who are d/Deaf, DeafBlind, and Hard of Hearing through high-quality communication access. Extensive research from the Registry of Interpreters for the Deaf, National Association of Interpreters in Education, and the National Association of the Deaf has demonstrated that a limited and well-managed scope of practice for effective communication access empowers individuals from the Deaf community to gain greater independence. </w:t>
      </w:r>
      <w:r w:rsidR="009E08D0">
        <w:rPr>
          <w:sz w:val="23"/>
          <w:szCs w:val="23"/>
        </w:rPr>
        <w:t>We believe</w:t>
      </w:r>
      <w:r w:rsidR="008E5E31">
        <w:rPr>
          <w:sz w:val="23"/>
          <w:szCs w:val="23"/>
        </w:rPr>
        <w:t xml:space="preserve"> that p</w:t>
      </w:r>
      <w:r w:rsidRPr="00AE25E6">
        <w:rPr>
          <w:sz w:val="23"/>
          <w:szCs w:val="23"/>
        </w:rPr>
        <w:t xml:space="preserve">racticing sign language interpretation is a learned profession, affecting public health, safety and welfare, and should be subject to regulation to protect the </w:t>
      </w:r>
      <w:proofErr w:type="gramStart"/>
      <w:r w:rsidRPr="00AE25E6">
        <w:rPr>
          <w:sz w:val="23"/>
          <w:szCs w:val="23"/>
        </w:rPr>
        <w:t>general public</w:t>
      </w:r>
      <w:proofErr w:type="gramEnd"/>
      <w:r w:rsidRPr="00AE25E6">
        <w:rPr>
          <w:sz w:val="23"/>
          <w:szCs w:val="23"/>
        </w:rPr>
        <w:t xml:space="preserve"> from unqualified persons practicing sign language.</w:t>
      </w:r>
    </w:p>
    <w:p w:rsidR="00301C51" w:rsidRPr="00AE25E6" w:rsidRDefault="00301C51" w:rsidP="00AA5AE3">
      <w:pPr>
        <w:pStyle w:val="ListParagraph"/>
        <w:rPr>
          <w:rFonts w:cs="Times New Roman"/>
          <w:sz w:val="23"/>
          <w:szCs w:val="23"/>
        </w:rPr>
      </w:pPr>
    </w:p>
    <w:p w:rsidR="00644076" w:rsidRPr="007D01FD" w:rsidRDefault="002C0335" w:rsidP="00301C51">
      <w:pPr>
        <w:pStyle w:val="ListParagraph"/>
        <w:numPr>
          <w:ilvl w:val="0"/>
          <w:numId w:val="3"/>
        </w:numPr>
        <w:rPr>
          <w:rFonts w:cs="Times New Roman"/>
          <w:b/>
          <w:sz w:val="23"/>
          <w:szCs w:val="23"/>
        </w:rPr>
      </w:pPr>
      <w:r w:rsidRPr="007D01FD">
        <w:rPr>
          <w:rFonts w:cs="Times New Roman"/>
          <w:b/>
          <w:sz w:val="23"/>
          <w:szCs w:val="23"/>
        </w:rPr>
        <w:t xml:space="preserve">Is the </w:t>
      </w:r>
      <w:r w:rsidR="00644076" w:rsidRPr="007D01FD">
        <w:rPr>
          <w:rFonts w:cs="Times New Roman"/>
          <w:b/>
          <w:sz w:val="23"/>
          <w:szCs w:val="23"/>
        </w:rPr>
        <w:t>occupational regulation</w:t>
      </w:r>
      <w:r w:rsidRPr="007D01FD">
        <w:rPr>
          <w:rFonts w:cs="Times New Roman"/>
          <w:b/>
          <w:sz w:val="23"/>
          <w:szCs w:val="23"/>
        </w:rPr>
        <w:t xml:space="preserve"> within the scope of the </w:t>
      </w:r>
      <w:r w:rsidR="002C1AE4" w:rsidRPr="007D01FD">
        <w:rPr>
          <w:rFonts w:cs="Times New Roman"/>
          <w:b/>
          <w:sz w:val="23"/>
          <w:szCs w:val="23"/>
        </w:rPr>
        <w:t xml:space="preserve">occupational licensing board’s </w:t>
      </w:r>
      <w:r w:rsidRPr="007D01FD">
        <w:rPr>
          <w:rFonts w:cs="Times New Roman"/>
          <w:b/>
          <w:sz w:val="23"/>
          <w:szCs w:val="23"/>
        </w:rPr>
        <w:t>general authority to regulate in a given occupation or industry? If so</w:t>
      </w:r>
      <w:r w:rsidR="002C1AE4" w:rsidRPr="007D01FD">
        <w:rPr>
          <w:rFonts w:cs="Times New Roman"/>
          <w:b/>
          <w:sz w:val="23"/>
          <w:szCs w:val="23"/>
        </w:rPr>
        <w:t xml:space="preserve">, </w:t>
      </w:r>
      <w:r w:rsidR="00F122A4" w:rsidRPr="007D01FD">
        <w:rPr>
          <w:rFonts w:cs="Times New Roman"/>
          <w:b/>
          <w:sz w:val="23"/>
          <w:szCs w:val="23"/>
        </w:rPr>
        <w:t xml:space="preserve">identify the law that provides the authority for the rule and </w:t>
      </w:r>
      <w:r w:rsidR="002C1AE4" w:rsidRPr="007D01FD">
        <w:rPr>
          <w:rFonts w:cs="Times New Roman"/>
          <w:b/>
          <w:sz w:val="23"/>
          <w:szCs w:val="23"/>
        </w:rPr>
        <w:t xml:space="preserve">describe how the occupational regulation </w:t>
      </w:r>
      <w:r w:rsidRPr="007D01FD">
        <w:rPr>
          <w:rFonts w:cs="Times New Roman"/>
          <w:b/>
          <w:sz w:val="23"/>
          <w:szCs w:val="23"/>
        </w:rPr>
        <w:t>is within the scope</w:t>
      </w:r>
      <w:r w:rsidR="00F122A4" w:rsidRPr="007D01FD">
        <w:rPr>
          <w:rFonts w:cs="Times New Roman"/>
          <w:b/>
          <w:sz w:val="23"/>
          <w:szCs w:val="23"/>
        </w:rPr>
        <w:t>.</w:t>
      </w:r>
      <w:r w:rsidRPr="007D01FD">
        <w:rPr>
          <w:rFonts w:cs="Times New Roman"/>
          <w:b/>
          <w:sz w:val="23"/>
          <w:szCs w:val="23"/>
        </w:rPr>
        <w:t xml:space="preserve"> </w:t>
      </w:r>
    </w:p>
    <w:p w:rsidR="00301C51" w:rsidRPr="00AE25E6" w:rsidRDefault="00301C51" w:rsidP="00301C51">
      <w:pPr>
        <w:pStyle w:val="ListParagraph"/>
        <w:rPr>
          <w:rFonts w:cs="Times New Roman"/>
          <w:sz w:val="23"/>
          <w:szCs w:val="23"/>
        </w:rPr>
      </w:pPr>
    </w:p>
    <w:p w:rsidR="00301C51" w:rsidRPr="00AE25E6" w:rsidRDefault="000168EE" w:rsidP="00301C51">
      <w:pPr>
        <w:pStyle w:val="ListParagraph"/>
        <w:rPr>
          <w:rFonts w:cs="Times New Roman"/>
          <w:sz w:val="23"/>
          <w:szCs w:val="23"/>
        </w:rPr>
      </w:pPr>
      <w:r>
        <w:rPr>
          <w:rFonts w:cs="Times New Roman"/>
          <w:sz w:val="23"/>
          <w:szCs w:val="23"/>
        </w:rPr>
        <w:t xml:space="preserve">Yes. </w:t>
      </w:r>
      <w:r w:rsidR="00301C51" w:rsidRPr="00AE25E6">
        <w:rPr>
          <w:rFonts w:cs="Times New Roman"/>
          <w:sz w:val="23"/>
          <w:szCs w:val="23"/>
        </w:rPr>
        <w:t xml:space="preserve">Pursuant to </w:t>
      </w:r>
      <w:r w:rsidR="007D01FD">
        <w:rPr>
          <w:rFonts w:cs="Times New Roman"/>
          <w:sz w:val="23"/>
          <w:szCs w:val="23"/>
        </w:rPr>
        <w:t>La. R.S.</w:t>
      </w:r>
      <w:r w:rsidR="00301C51" w:rsidRPr="00AE25E6">
        <w:rPr>
          <w:rFonts w:cs="Times New Roman"/>
          <w:sz w:val="23"/>
          <w:szCs w:val="23"/>
        </w:rPr>
        <w:t xml:space="preserve"> 46:2353, the commission shall do all of the following:</w:t>
      </w:r>
    </w:p>
    <w:p w:rsidR="00301C51" w:rsidRPr="00AE25E6" w:rsidRDefault="00301C51" w:rsidP="00301C51">
      <w:pPr>
        <w:pStyle w:val="ListParagraph"/>
        <w:numPr>
          <w:ilvl w:val="0"/>
          <w:numId w:val="4"/>
        </w:numPr>
        <w:rPr>
          <w:rFonts w:cs="Times New Roman"/>
          <w:sz w:val="23"/>
          <w:szCs w:val="23"/>
        </w:rPr>
      </w:pPr>
      <w:r w:rsidRPr="00AE25E6">
        <w:rPr>
          <w:rFonts w:cs="Times New Roman"/>
          <w:sz w:val="23"/>
          <w:szCs w:val="23"/>
        </w:rPr>
        <w:lastRenderedPageBreak/>
        <w:t>Establish the process and set the criteria for the professional credentialing of interpreters.</w:t>
      </w:r>
    </w:p>
    <w:p w:rsidR="00301C51" w:rsidRPr="00AE25E6" w:rsidRDefault="00301C51" w:rsidP="00301C51">
      <w:pPr>
        <w:pStyle w:val="ListParagraph"/>
        <w:numPr>
          <w:ilvl w:val="0"/>
          <w:numId w:val="4"/>
        </w:numPr>
        <w:rPr>
          <w:rFonts w:cs="Times New Roman"/>
          <w:sz w:val="23"/>
          <w:szCs w:val="23"/>
        </w:rPr>
      </w:pPr>
      <w:r w:rsidRPr="00AE25E6">
        <w:rPr>
          <w:rFonts w:cs="Times New Roman"/>
          <w:sz w:val="23"/>
          <w:szCs w:val="23"/>
        </w:rPr>
        <w:t>Develop and maintain a registry of credentialed interpreters, including administrative guidelines for the registration process.</w:t>
      </w:r>
    </w:p>
    <w:p w:rsidR="00301C51" w:rsidRPr="00AE25E6" w:rsidRDefault="00301C51" w:rsidP="00301C51">
      <w:pPr>
        <w:pStyle w:val="ListParagraph"/>
        <w:numPr>
          <w:ilvl w:val="0"/>
          <w:numId w:val="4"/>
        </w:numPr>
        <w:rPr>
          <w:rFonts w:cs="Times New Roman"/>
          <w:sz w:val="23"/>
          <w:szCs w:val="23"/>
        </w:rPr>
      </w:pPr>
      <w:r w:rsidRPr="00AE25E6">
        <w:rPr>
          <w:rFonts w:cs="Times New Roman"/>
          <w:sz w:val="23"/>
          <w:szCs w:val="23"/>
        </w:rPr>
        <w:t>Set administrative guidelines regarding minimum qualifications and registration for interpreters working in educational settings, in conjunction with the Department of Education. The commission shall review for approval applications and renewals of state of Louisiana provisional and ancillary certificates for interpreters working for the department or any of the local educational agencies or special school boards throughout the state under the supervision of the State Board of Elementary and Secondary Education.</w:t>
      </w:r>
    </w:p>
    <w:p w:rsidR="00301C51" w:rsidRPr="00AE25E6" w:rsidRDefault="00301C51" w:rsidP="00301C51">
      <w:pPr>
        <w:pStyle w:val="ListParagraph"/>
        <w:numPr>
          <w:ilvl w:val="0"/>
          <w:numId w:val="4"/>
        </w:numPr>
        <w:rPr>
          <w:rFonts w:cs="Times New Roman"/>
          <w:sz w:val="23"/>
          <w:szCs w:val="23"/>
        </w:rPr>
      </w:pPr>
      <w:r w:rsidRPr="00AE25E6">
        <w:rPr>
          <w:rFonts w:cs="Times New Roman"/>
          <w:sz w:val="23"/>
          <w:szCs w:val="23"/>
        </w:rPr>
        <w:t>Establish criteria regarding the minimum qualifications and registration of persons who may serve as interpreters during a judicial or quasi-judicial proceeding in this state or its political subdivisions for a person who is d/Deaf, DeafBlind, or hard of hearing that align with and expand upon the rules of the Louisiana Supreme Court. No person shall serve as an interpreter in the courts of this state without the required interpreter certification.</w:t>
      </w:r>
    </w:p>
    <w:p w:rsidR="00301C51" w:rsidRPr="00AE25E6" w:rsidRDefault="00301C51" w:rsidP="00301C51">
      <w:pPr>
        <w:pStyle w:val="ListParagraph"/>
        <w:rPr>
          <w:rFonts w:cs="Times New Roman"/>
          <w:sz w:val="23"/>
          <w:szCs w:val="23"/>
        </w:rPr>
      </w:pPr>
      <w:r w:rsidRPr="00AE25E6">
        <w:rPr>
          <w:rFonts w:cs="Times New Roman"/>
          <w:sz w:val="23"/>
          <w:szCs w:val="23"/>
        </w:rPr>
        <w:t xml:space="preserve">The commission shall </w:t>
      </w:r>
      <w:r w:rsidR="007D01FD">
        <w:rPr>
          <w:rFonts w:cs="Times New Roman"/>
          <w:sz w:val="23"/>
          <w:szCs w:val="23"/>
        </w:rPr>
        <w:t xml:space="preserve">also </w:t>
      </w:r>
      <w:r w:rsidRPr="00AE25E6">
        <w:rPr>
          <w:rFonts w:cs="Times New Roman"/>
          <w:sz w:val="23"/>
          <w:szCs w:val="23"/>
        </w:rPr>
        <w:t>promulgate rules for the regulation of interpreters in this state. The rules shall, at a mini</w:t>
      </w:r>
      <w:bookmarkStart w:id="0" w:name="_GoBack"/>
      <w:bookmarkEnd w:id="0"/>
      <w:r w:rsidRPr="00AE25E6">
        <w:rPr>
          <w:rFonts w:cs="Times New Roman"/>
          <w:sz w:val="23"/>
          <w:szCs w:val="23"/>
        </w:rPr>
        <w:t>mum, do all of the following:</w:t>
      </w:r>
    </w:p>
    <w:p w:rsidR="00301C51" w:rsidRPr="00AE25E6" w:rsidRDefault="00301C51" w:rsidP="00301C51">
      <w:pPr>
        <w:pStyle w:val="ListParagraph"/>
        <w:numPr>
          <w:ilvl w:val="0"/>
          <w:numId w:val="5"/>
        </w:numPr>
        <w:rPr>
          <w:rFonts w:cs="Times New Roman"/>
          <w:sz w:val="23"/>
          <w:szCs w:val="23"/>
        </w:rPr>
      </w:pPr>
      <w:r w:rsidRPr="00AE25E6">
        <w:rPr>
          <w:rFonts w:cs="Times New Roman"/>
          <w:sz w:val="23"/>
          <w:szCs w:val="23"/>
        </w:rPr>
        <w:t>Charge reasonable fees to cover the administrative costs of applications, examination of applications, and renewal of registration.</w:t>
      </w:r>
    </w:p>
    <w:p w:rsidR="00301C51" w:rsidRPr="00AE25E6" w:rsidRDefault="00301C51" w:rsidP="00301C51">
      <w:pPr>
        <w:pStyle w:val="ListParagraph"/>
        <w:numPr>
          <w:ilvl w:val="0"/>
          <w:numId w:val="5"/>
        </w:numPr>
        <w:rPr>
          <w:rFonts w:cs="Times New Roman"/>
          <w:sz w:val="23"/>
          <w:szCs w:val="23"/>
        </w:rPr>
      </w:pPr>
      <w:r w:rsidRPr="00AE25E6">
        <w:rPr>
          <w:rFonts w:cs="Times New Roman"/>
          <w:sz w:val="23"/>
          <w:szCs w:val="23"/>
        </w:rPr>
        <w:t>Accept registration for applicants with valid credentialing from another state, based on the board's recommendation for reciprocity.</w:t>
      </w:r>
    </w:p>
    <w:p w:rsidR="00301C51" w:rsidRPr="00AE25E6" w:rsidRDefault="00301C51" w:rsidP="00301C51">
      <w:pPr>
        <w:pStyle w:val="ListParagraph"/>
        <w:numPr>
          <w:ilvl w:val="0"/>
          <w:numId w:val="5"/>
        </w:numPr>
        <w:rPr>
          <w:rFonts w:cs="Times New Roman"/>
          <w:sz w:val="23"/>
          <w:szCs w:val="23"/>
        </w:rPr>
      </w:pPr>
      <w:r w:rsidRPr="00AE25E6">
        <w:rPr>
          <w:rFonts w:cs="Times New Roman"/>
          <w:sz w:val="23"/>
          <w:szCs w:val="23"/>
        </w:rPr>
        <w:t>Adopt conditions under which registration will expire.</w:t>
      </w:r>
    </w:p>
    <w:p w:rsidR="00301C51" w:rsidRPr="00AE25E6" w:rsidRDefault="00301C51" w:rsidP="00301C51">
      <w:pPr>
        <w:pStyle w:val="ListParagraph"/>
        <w:numPr>
          <w:ilvl w:val="0"/>
          <w:numId w:val="5"/>
        </w:numPr>
        <w:rPr>
          <w:rFonts w:cs="Times New Roman"/>
          <w:sz w:val="23"/>
          <w:szCs w:val="23"/>
        </w:rPr>
      </w:pPr>
      <w:r w:rsidRPr="00AE25E6">
        <w:rPr>
          <w:rFonts w:cs="Times New Roman"/>
          <w:sz w:val="23"/>
          <w:szCs w:val="23"/>
        </w:rPr>
        <w:t>Specify procedures outlining grounds for denying, suspending, or revoking an interpreter's registration with the state.</w:t>
      </w:r>
    </w:p>
    <w:p w:rsidR="00301C51" w:rsidRPr="00AE25E6" w:rsidRDefault="00301C51" w:rsidP="00301C51">
      <w:pPr>
        <w:pStyle w:val="ListParagraph"/>
        <w:numPr>
          <w:ilvl w:val="0"/>
          <w:numId w:val="5"/>
        </w:numPr>
        <w:rPr>
          <w:rFonts w:cs="Times New Roman"/>
          <w:sz w:val="23"/>
          <w:szCs w:val="23"/>
        </w:rPr>
      </w:pPr>
      <w:r w:rsidRPr="00AE25E6">
        <w:rPr>
          <w:rFonts w:cs="Times New Roman"/>
          <w:sz w:val="23"/>
          <w:szCs w:val="23"/>
        </w:rPr>
        <w:t xml:space="preserve">Adopt and specify grievance </w:t>
      </w:r>
      <w:proofErr w:type="gramStart"/>
      <w:r w:rsidRPr="00AE25E6">
        <w:rPr>
          <w:rFonts w:cs="Times New Roman"/>
          <w:sz w:val="23"/>
          <w:szCs w:val="23"/>
        </w:rPr>
        <w:t>polic</w:t>
      </w:r>
      <w:r w:rsidR="00836639">
        <w:rPr>
          <w:rFonts w:cs="Times New Roman"/>
          <w:sz w:val="23"/>
          <w:szCs w:val="23"/>
        </w:rPr>
        <w:t xml:space="preserve">ies </w:t>
      </w:r>
      <w:r w:rsidRPr="00AE25E6">
        <w:rPr>
          <w:rFonts w:cs="Times New Roman"/>
          <w:sz w:val="23"/>
          <w:szCs w:val="23"/>
        </w:rPr>
        <w:t>and procedures</w:t>
      </w:r>
      <w:proofErr w:type="gramEnd"/>
      <w:r w:rsidRPr="00AE25E6">
        <w:rPr>
          <w:rFonts w:cs="Times New Roman"/>
          <w:sz w:val="23"/>
          <w:szCs w:val="23"/>
        </w:rPr>
        <w:t xml:space="preserve"> and the process for disciplining interpreters.</w:t>
      </w:r>
    </w:p>
    <w:p w:rsidR="00301C51" w:rsidRPr="00AE25E6" w:rsidRDefault="00301C51" w:rsidP="00301C51">
      <w:pPr>
        <w:pStyle w:val="ListParagraph"/>
        <w:numPr>
          <w:ilvl w:val="0"/>
          <w:numId w:val="5"/>
        </w:numPr>
        <w:rPr>
          <w:rFonts w:cs="Times New Roman"/>
          <w:sz w:val="23"/>
          <w:szCs w:val="23"/>
        </w:rPr>
      </w:pPr>
      <w:r w:rsidRPr="00AE25E6">
        <w:rPr>
          <w:rFonts w:cs="Times New Roman"/>
          <w:sz w:val="23"/>
          <w:szCs w:val="23"/>
        </w:rPr>
        <w:t>Provide for a deaf or hard of hearing person's right to choose his interpreter to the extent possible and appropriate.</w:t>
      </w:r>
    </w:p>
    <w:p w:rsidR="00AA5AE3" w:rsidRPr="00AE25E6" w:rsidRDefault="00301C51" w:rsidP="00301C51">
      <w:pPr>
        <w:pStyle w:val="ListParagraph"/>
        <w:numPr>
          <w:ilvl w:val="0"/>
          <w:numId w:val="5"/>
        </w:numPr>
        <w:rPr>
          <w:rFonts w:cs="Times New Roman"/>
          <w:sz w:val="23"/>
          <w:szCs w:val="23"/>
        </w:rPr>
      </w:pPr>
      <w:r w:rsidRPr="00AE25E6">
        <w:rPr>
          <w:rFonts w:cs="Times New Roman"/>
          <w:sz w:val="23"/>
          <w:szCs w:val="23"/>
        </w:rPr>
        <w:t>Exempt interpreters of religious services or those interpreting on a voluntary basis without compensation from the requirement of registration.</w:t>
      </w:r>
    </w:p>
    <w:p w:rsidR="00301C51" w:rsidRPr="00AE25E6" w:rsidRDefault="007D01FD" w:rsidP="00B50E6D">
      <w:pPr>
        <w:rPr>
          <w:rFonts w:cs="Times New Roman"/>
          <w:sz w:val="23"/>
          <w:szCs w:val="23"/>
        </w:rPr>
      </w:pPr>
      <w:r>
        <w:rPr>
          <w:rFonts w:cs="Times New Roman"/>
          <w:sz w:val="23"/>
          <w:szCs w:val="23"/>
        </w:rPr>
        <w:tab/>
        <w:t xml:space="preserve">Thus, the aforementioned outlines the Commission’s regulatory authority. </w:t>
      </w:r>
    </w:p>
    <w:p w:rsidR="003F57CB" w:rsidRPr="007D01FD" w:rsidRDefault="003F57CB" w:rsidP="00AA5AE3">
      <w:pPr>
        <w:pStyle w:val="ListParagraph"/>
        <w:numPr>
          <w:ilvl w:val="0"/>
          <w:numId w:val="3"/>
        </w:numPr>
        <w:rPr>
          <w:rFonts w:cs="Times New Roman"/>
          <w:b/>
          <w:sz w:val="23"/>
          <w:szCs w:val="23"/>
        </w:rPr>
      </w:pPr>
      <w:r w:rsidRPr="007D01FD">
        <w:rPr>
          <w:rFonts w:cs="Times New Roman"/>
          <w:b/>
          <w:sz w:val="23"/>
          <w:szCs w:val="23"/>
        </w:rPr>
        <w:t>Check all of the following that apply as reasons the occupational regulation is subject to review</w:t>
      </w:r>
    </w:p>
    <w:p w:rsidR="00AA5AE3" w:rsidRPr="00AE25E6" w:rsidRDefault="00AA5AE3" w:rsidP="00AA5AE3">
      <w:pPr>
        <w:pStyle w:val="ListParagraph"/>
        <w:rPr>
          <w:rFonts w:cs="Times New Roman"/>
          <w:sz w:val="23"/>
          <w:szCs w:val="23"/>
        </w:rPr>
      </w:pPr>
    </w:p>
    <w:p w:rsidR="0052732C" w:rsidRPr="00AE25E6" w:rsidRDefault="00836639">
      <w:pPr>
        <w:rPr>
          <w:rFonts w:cs="Times New Roman"/>
          <w:sz w:val="23"/>
          <w:szCs w:val="23"/>
        </w:rPr>
      </w:pPr>
      <w:sdt>
        <w:sdtPr>
          <w:rPr>
            <w:rFonts w:cs="Times New Roman"/>
            <w:sz w:val="23"/>
            <w:szCs w:val="23"/>
          </w:rPr>
          <w:id w:val="923837281"/>
          <w14:checkbox>
            <w14:checked w14:val="0"/>
            <w14:checkedState w14:val="2612" w14:font="MS Gothic"/>
            <w14:uncheckedState w14:val="2610" w14:font="MS Gothic"/>
          </w14:checkbox>
        </w:sdtPr>
        <w:sdtEndPr/>
        <w:sdtContent>
          <w:r w:rsidR="00262301" w:rsidRPr="00AE25E6">
            <w:rPr>
              <w:rFonts w:ascii="Segoe UI Symbol" w:eastAsia="MS Gothic" w:hAnsi="Segoe UI Symbol" w:cs="Segoe UI Symbol"/>
              <w:sz w:val="23"/>
              <w:szCs w:val="23"/>
            </w:rPr>
            <w:t>☐</w:t>
          </w:r>
        </w:sdtContent>
      </w:sdt>
      <w:r w:rsidR="0052732C" w:rsidRPr="00AE25E6">
        <w:rPr>
          <w:rFonts w:cs="Times New Roman"/>
          <w:sz w:val="23"/>
          <w:szCs w:val="23"/>
        </w:rPr>
        <w:tab/>
        <w:t>Creates a barrier to market competition</w:t>
      </w:r>
    </w:p>
    <w:p w:rsidR="003F57CB" w:rsidRPr="00AE25E6" w:rsidRDefault="00836639" w:rsidP="00CE455B">
      <w:pPr>
        <w:ind w:left="720" w:hanging="720"/>
        <w:rPr>
          <w:rFonts w:cs="Times New Roman"/>
          <w:sz w:val="23"/>
          <w:szCs w:val="23"/>
        </w:rPr>
      </w:pPr>
      <w:sdt>
        <w:sdtPr>
          <w:rPr>
            <w:rFonts w:cs="Times New Roman"/>
            <w:sz w:val="23"/>
            <w:szCs w:val="23"/>
          </w:rPr>
          <w:id w:val="-1953464448"/>
          <w14:checkbox>
            <w14:checked w14:val="0"/>
            <w14:checkedState w14:val="2612" w14:font="MS Gothic"/>
            <w14:uncheckedState w14:val="2610" w14:font="MS Gothic"/>
          </w14:checkbox>
        </w:sdtPr>
        <w:sdtEndPr/>
        <w:sdtContent>
          <w:r w:rsidR="00262301" w:rsidRPr="00AE25E6">
            <w:rPr>
              <w:rFonts w:ascii="Segoe UI Symbol" w:eastAsia="MS Gothic" w:hAnsi="Segoe UI Symbol" w:cs="Segoe UI Symbol"/>
              <w:sz w:val="23"/>
              <w:szCs w:val="23"/>
            </w:rPr>
            <w:t>☐</w:t>
          </w:r>
        </w:sdtContent>
      </w:sdt>
      <w:r w:rsidR="003F57CB" w:rsidRPr="00AE25E6">
        <w:rPr>
          <w:rFonts w:cs="Times New Roman"/>
          <w:sz w:val="23"/>
          <w:szCs w:val="23"/>
        </w:rPr>
        <w:tab/>
        <w:t>Fixes prices, limits price competition, or results in high prices for a product or</w:t>
      </w:r>
      <w:r w:rsidR="00CE455B" w:rsidRPr="00AE25E6">
        <w:rPr>
          <w:rFonts w:cs="Times New Roman"/>
          <w:sz w:val="23"/>
          <w:szCs w:val="23"/>
        </w:rPr>
        <w:t xml:space="preserve"> </w:t>
      </w:r>
      <w:r w:rsidR="003F57CB" w:rsidRPr="00AE25E6">
        <w:rPr>
          <w:rFonts w:cs="Times New Roman"/>
          <w:sz w:val="23"/>
          <w:szCs w:val="23"/>
        </w:rPr>
        <w:t>service pro</w:t>
      </w:r>
      <w:r w:rsidR="00264127" w:rsidRPr="00AE25E6">
        <w:rPr>
          <w:rFonts w:cs="Times New Roman"/>
          <w:sz w:val="23"/>
          <w:szCs w:val="23"/>
        </w:rPr>
        <w:t>vided by or to a license holder</w:t>
      </w:r>
      <w:r w:rsidR="003F57CB" w:rsidRPr="00AE25E6">
        <w:rPr>
          <w:rFonts w:cs="Times New Roman"/>
          <w:sz w:val="23"/>
          <w:szCs w:val="23"/>
        </w:rPr>
        <w:t xml:space="preserve"> </w:t>
      </w:r>
    </w:p>
    <w:p w:rsidR="003F57CB" w:rsidRPr="00AE25E6" w:rsidRDefault="00836639">
      <w:pPr>
        <w:rPr>
          <w:rFonts w:cs="Times New Roman"/>
          <w:sz w:val="23"/>
          <w:szCs w:val="23"/>
        </w:rPr>
      </w:pPr>
      <w:sdt>
        <w:sdtPr>
          <w:rPr>
            <w:rFonts w:cs="Times New Roman"/>
            <w:sz w:val="23"/>
            <w:szCs w:val="23"/>
          </w:rPr>
          <w:id w:val="1813679189"/>
          <w14:checkbox>
            <w14:checked w14:val="0"/>
            <w14:checkedState w14:val="2612" w14:font="MS Gothic"/>
            <w14:uncheckedState w14:val="2610" w14:font="MS Gothic"/>
          </w14:checkbox>
        </w:sdtPr>
        <w:sdtEndPr/>
        <w:sdtContent>
          <w:r w:rsidR="00262301" w:rsidRPr="00AE25E6">
            <w:rPr>
              <w:rFonts w:ascii="Segoe UI Symbol" w:eastAsia="MS Gothic" w:hAnsi="Segoe UI Symbol" w:cs="Segoe UI Symbol"/>
              <w:sz w:val="23"/>
              <w:szCs w:val="23"/>
            </w:rPr>
            <w:t>☐</w:t>
          </w:r>
        </w:sdtContent>
      </w:sdt>
      <w:r w:rsidR="0052732C" w:rsidRPr="00AE25E6">
        <w:rPr>
          <w:rFonts w:cs="Times New Roman"/>
          <w:sz w:val="23"/>
          <w:szCs w:val="23"/>
        </w:rPr>
        <w:tab/>
        <w:t>Reduces competition or e</w:t>
      </w:r>
      <w:r w:rsidR="003F57CB" w:rsidRPr="00AE25E6">
        <w:rPr>
          <w:rFonts w:cs="Times New Roman"/>
          <w:sz w:val="23"/>
          <w:szCs w:val="23"/>
        </w:rPr>
        <w:t xml:space="preserve">xcludes present or potential competitors from the </w:t>
      </w:r>
      <w:r w:rsidR="0052732C" w:rsidRPr="00AE25E6">
        <w:rPr>
          <w:rFonts w:cs="Times New Roman"/>
          <w:sz w:val="23"/>
          <w:szCs w:val="23"/>
        </w:rPr>
        <w:tab/>
      </w:r>
      <w:r w:rsidR="003F57CB" w:rsidRPr="00AE25E6">
        <w:rPr>
          <w:rFonts w:cs="Times New Roman"/>
          <w:sz w:val="23"/>
          <w:szCs w:val="23"/>
        </w:rPr>
        <w:t xml:space="preserve">occupation regulated by the board </w:t>
      </w:r>
    </w:p>
    <w:p w:rsidR="003F57CB" w:rsidRPr="00AE25E6" w:rsidRDefault="00836639">
      <w:pPr>
        <w:rPr>
          <w:rFonts w:cs="Times New Roman"/>
          <w:sz w:val="23"/>
          <w:szCs w:val="23"/>
        </w:rPr>
      </w:pPr>
      <w:sdt>
        <w:sdtPr>
          <w:rPr>
            <w:rFonts w:cs="Times New Roman"/>
            <w:sz w:val="23"/>
            <w:szCs w:val="23"/>
          </w:rPr>
          <w:id w:val="503325055"/>
          <w14:checkbox>
            <w14:checked w14:val="0"/>
            <w14:checkedState w14:val="2612" w14:font="MS Gothic"/>
            <w14:uncheckedState w14:val="2610" w14:font="MS Gothic"/>
          </w14:checkbox>
        </w:sdtPr>
        <w:sdtEndPr/>
        <w:sdtContent>
          <w:r w:rsidR="00262301" w:rsidRPr="00AE25E6">
            <w:rPr>
              <w:rFonts w:ascii="Segoe UI Symbol" w:eastAsia="MS Gothic" w:hAnsi="Segoe UI Symbol" w:cs="Segoe UI Symbol"/>
              <w:sz w:val="23"/>
              <w:szCs w:val="23"/>
            </w:rPr>
            <w:t>☐</w:t>
          </w:r>
        </w:sdtContent>
      </w:sdt>
      <w:r w:rsidR="003F57CB" w:rsidRPr="00AE25E6">
        <w:rPr>
          <w:rFonts w:cs="Times New Roman"/>
          <w:sz w:val="23"/>
          <w:szCs w:val="23"/>
        </w:rPr>
        <w:tab/>
        <w:t xml:space="preserve">Limits output or supply in this state of any good or service provided by the </w:t>
      </w:r>
      <w:r w:rsidR="003F57CB" w:rsidRPr="00AE25E6">
        <w:rPr>
          <w:rFonts w:cs="Times New Roman"/>
          <w:sz w:val="23"/>
          <w:szCs w:val="23"/>
        </w:rPr>
        <w:tab/>
        <w:t>memb</w:t>
      </w:r>
      <w:r w:rsidR="00264127" w:rsidRPr="00AE25E6">
        <w:rPr>
          <w:rFonts w:cs="Times New Roman"/>
          <w:sz w:val="23"/>
          <w:szCs w:val="23"/>
        </w:rPr>
        <w:t>ers of the regulated occupation</w:t>
      </w:r>
      <w:r w:rsidR="003F57CB" w:rsidRPr="00AE25E6">
        <w:rPr>
          <w:rFonts w:cs="Times New Roman"/>
          <w:sz w:val="23"/>
          <w:szCs w:val="23"/>
        </w:rPr>
        <w:t xml:space="preserve"> </w:t>
      </w:r>
    </w:p>
    <w:p w:rsidR="00644076" w:rsidRPr="00AE25E6" w:rsidRDefault="00836639">
      <w:pPr>
        <w:rPr>
          <w:rFonts w:cs="Times New Roman"/>
          <w:sz w:val="23"/>
          <w:szCs w:val="23"/>
        </w:rPr>
      </w:pPr>
      <w:sdt>
        <w:sdtPr>
          <w:rPr>
            <w:rFonts w:cs="Times New Roman"/>
            <w:sz w:val="23"/>
            <w:szCs w:val="23"/>
          </w:rPr>
          <w:id w:val="1279837869"/>
          <w14:checkbox>
            <w14:checked w14:val="0"/>
            <w14:checkedState w14:val="2612" w14:font="MS Gothic"/>
            <w14:uncheckedState w14:val="2610" w14:font="MS Gothic"/>
          </w14:checkbox>
        </w:sdtPr>
        <w:sdtEndPr/>
        <w:sdtContent>
          <w:r w:rsidR="00262301" w:rsidRPr="00AE25E6">
            <w:rPr>
              <w:rFonts w:ascii="Segoe UI Symbol" w:eastAsia="MS Gothic" w:hAnsi="Segoe UI Symbol" w:cs="Segoe UI Symbol"/>
              <w:sz w:val="23"/>
              <w:szCs w:val="23"/>
            </w:rPr>
            <w:t>☐</w:t>
          </w:r>
        </w:sdtContent>
      </w:sdt>
      <w:r w:rsidR="003F57CB" w:rsidRPr="00AE25E6">
        <w:rPr>
          <w:rFonts w:cs="Times New Roman"/>
          <w:sz w:val="23"/>
          <w:szCs w:val="23"/>
        </w:rPr>
        <w:tab/>
        <w:t>Reduces the number of providers that can serv</w:t>
      </w:r>
      <w:r w:rsidR="00644076" w:rsidRPr="00AE25E6">
        <w:rPr>
          <w:rFonts w:cs="Times New Roman"/>
          <w:sz w:val="23"/>
          <w:szCs w:val="23"/>
        </w:rPr>
        <w:t>e a particular set of customers</w:t>
      </w:r>
    </w:p>
    <w:p w:rsidR="00397090" w:rsidRPr="00AE25E6" w:rsidRDefault="00836639" w:rsidP="00397090">
      <w:pPr>
        <w:rPr>
          <w:rFonts w:cs="Times New Roman"/>
          <w:sz w:val="23"/>
          <w:szCs w:val="23"/>
        </w:rPr>
      </w:pPr>
      <w:sdt>
        <w:sdtPr>
          <w:rPr>
            <w:rFonts w:cs="Times New Roman"/>
            <w:sz w:val="23"/>
            <w:szCs w:val="23"/>
          </w:rPr>
          <w:id w:val="837359203"/>
          <w14:checkbox>
            <w14:checked w14:val="0"/>
            <w14:checkedState w14:val="2612" w14:font="MS Gothic"/>
            <w14:uncheckedState w14:val="2610" w14:font="MS Gothic"/>
          </w14:checkbox>
        </w:sdtPr>
        <w:sdtEndPr/>
        <w:sdtContent>
          <w:r w:rsidR="00262301" w:rsidRPr="00AE25E6">
            <w:rPr>
              <w:rFonts w:ascii="Segoe UI Symbol" w:eastAsia="MS Gothic" w:hAnsi="Segoe UI Symbol" w:cs="Segoe UI Symbol"/>
              <w:sz w:val="23"/>
              <w:szCs w:val="23"/>
            </w:rPr>
            <w:t>☐</w:t>
          </w:r>
        </w:sdtContent>
      </w:sdt>
      <w:r w:rsidR="00397090" w:rsidRPr="00AE25E6">
        <w:rPr>
          <w:rFonts w:cs="Times New Roman"/>
          <w:sz w:val="23"/>
          <w:szCs w:val="23"/>
        </w:rPr>
        <w:tab/>
        <w:t>Changes existing requirements for licensure, certification, registration, etc.</w:t>
      </w:r>
    </w:p>
    <w:p w:rsidR="003F57CB" w:rsidRPr="00AE25E6" w:rsidRDefault="00836639">
      <w:pPr>
        <w:rPr>
          <w:rFonts w:cs="Times New Roman"/>
          <w:sz w:val="23"/>
          <w:szCs w:val="23"/>
        </w:rPr>
      </w:pPr>
      <w:sdt>
        <w:sdtPr>
          <w:rPr>
            <w:rFonts w:cs="Times New Roman"/>
            <w:sz w:val="23"/>
            <w:szCs w:val="23"/>
          </w:rPr>
          <w:id w:val="-991176003"/>
          <w14:checkbox>
            <w14:checked w14:val="1"/>
            <w14:checkedState w14:val="2612" w14:font="MS Gothic"/>
            <w14:uncheckedState w14:val="2610" w14:font="MS Gothic"/>
          </w14:checkbox>
        </w:sdtPr>
        <w:sdtEndPr/>
        <w:sdtContent>
          <w:r w:rsidR="00D71487" w:rsidRPr="00AE25E6">
            <w:rPr>
              <w:rFonts w:ascii="Segoe UI Symbol" w:eastAsia="MS Gothic" w:hAnsi="Segoe UI Symbol" w:cs="Segoe UI Symbol"/>
              <w:sz w:val="23"/>
              <w:szCs w:val="23"/>
            </w:rPr>
            <w:t>☒</w:t>
          </w:r>
        </w:sdtContent>
      </w:sdt>
      <w:r w:rsidR="003F57CB" w:rsidRPr="00AE25E6">
        <w:rPr>
          <w:rFonts w:cs="Times New Roman"/>
          <w:sz w:val="23"/>
          <w:szCs w:val="23"/>
        </w:rPr>
        <w:tab/>
      </w:r>
      <w:r w:rsidR="00644076" w:rsidRPr="00AE25E6">
        <w:rPr>
          <w:rFonts w:cs="Times New Roman"/>
          <w:sz w:val="23"/>
          <w:szCs w:val="23"/>
        </w:rPr>
        <w:t>Other activity (please describe)</w:t>
      </w:r>
    </w:p>
    <w:p w:rsidR="00644076" w:rsidRPr="00AE25E6" w:rsidRDefault="00D71487" w:rsidP="00A53545">
      <w:pPr>
        <w:ind w:left="720"/>
        <w:rPr>
          <w:rFonts w:cs="Times New Roman"/>
          <w:sz w:val="23"/>
          <w:szCs w:val="23"/>
        </w:rPr>
      </w:pPr>
      <w:r w:rsidRPr="00AE25E6">
        <w:rPr>
          <w:rFonts w:cs="Times New Roman"/>
          <w:sz w:val="23"/>
          <w:szCs w:val="23"/>
        </w:rPr>
        <w:t>The Sign Language Interpreter workforce in Louisiana has had limited and/or a lack of professional qualification standards. Act 128 of the Regular 2022 Legislative Session mandated the first of its kind to provide for the minimum qualification standards and registration require</w:t>
      </w:r>
      <w:r w:rsidR="000168EE">
        <w:rPr>
          <w:rFonts w:cs="Times New Roman"/>
          <w:sz w:val="23"/>
          <w:szCs w:val="23"/>
        </w:rPr>
        <w:t xml:space="preserve">ments of this workforce. </w:t>
      </w:r>
      <w:r w:rsidRPr="00AE25E6">
        <w:rPr>
          <w:rFonts w:cs="Times New Roman"/>
          <w:sz w:val="23"/>
          <w:szCs w:val="23"/>
        </w:rPr>
        <w:t>The Louisiana Commission for the Deaf has a Board of Commissioners, consisting of 18 individuals designated or appointed which inf</w:t>
      </w:r>
      <w:r w:rsidR="000168EE">
        <w:rPr>
          <w:rFonts w:cs="Times New Roman"/>
          <w:sz w:val="23"/>
          <w:szCs w:val="23"/>
        </w:rPr>
        <w:t>orm the work of the Commission.</w:t>
      </w:r>
      <w:r w:rsidRPr="00AE25E6">
        <w:rPr>
          <w:rFonts w:cs="Times New Roman"/>
          <w:sz w:val="23"/>
          <w:szCs w:val="23"/>
        </w:rPr>
        <w:t xml:space="preserve"> This membership includes some active market participants of the sign l</w:t>
      </w:r>
      <w:r w:rsidR="000168EE">
        <w:rPr>
          <w:rFonts w:cs="Times New Roman"/>
          <w:sz w:val="23"/>
          <w:szCs w:val="23"/>
        </w:rPr>
        <w:t xml:space="preserve">anguage interpreter workforce. </w:t>
      </w:r>
      <w:r w:rsidR="007D01FD">
        <w:rPr>
          <w:rFonts w:cs="Times New Roman"/>
          <w:sz w:val="23"/>
          <w:szCs w:val="23"/>
        </w:rPr>
        <w:t>Additionally, t</w:t>
      </w:r>
      <w:r w:rsidRPr="00AE25E6">
        <w:rPr>
          <w:rFonts w:cs="Times New Roman"/>
          <w:sz w:val="23"/>
          <w:szCs w:val="23"/>
        </w:rPr>
        <w:t xml:space="preserve">he Commission requests the review of the proposed regulations to ensure compliance with state law and policy, and to ensure members of the board avoid liability under federal antitrust laws. </w:t>
      </w:r>
    </w:p>
    <w:p w:rsidR="00644076" w:rsidRPr="003F03E2" w:rsidRDefault="00644076" w:rsidP="00AA5AE3">
      <w:pPr>
        <w:pStyle w:val="ListParagraph"/>
        <w:numPr>
          <w:ilvl w:val="0"/>
          <w:numId w:val="3"/>
        </w:numPr>
        <w:rPr>
          <w:rFonts w:cs="Times New Roman"/>
          <w:b/>
          <w:sz w:val="23"/>
          <w:szCs w:val="23"/>
        </w:rPr>
      </w:pPr>
      <w:r w:rsidRPr="003F03E2">
        <w:rPr>
          <w:rFonts w:cs="Times New Roman"/>
          <w:b/>
          <w:sz w:val="23"/>
          <w:szCs w:val="23"/>
        </w:rPr>
        <w:t xml:space="preserve">Identify the clearly articulated state policy (e.g., health, safety, welfare, or consumer protection) in state statute, or any supporting evidence of the harm the action/proposed action </w:t>
      </w:r>
      <w:proofErr w:type="gramStart"/>
      <w:r w:rsidRPr="003F03E2">
        <w:rPr>
          <w:rFonts w:cs="Times New Roman"/>
          <w:b/>
          <w:sz w:val="23"/>
          <w:szCs w:val="23"/>
        </w:rPr>
        <w:t>is intended</w:t>
      </w:r>
      <w:proofErr w:type="gramEnd"/>
      <w:r w:rsidRPr="003F03E2">
        <w:rPr>
          <w:rFonts w:cs="Times New Roman"/>
          <w:b/>
          <w:sz w:val="23"/>
          <w:szCs w:val="23"/>
        </w:rPr>
        <w:t xml:space="preserve"> to protect against?</w:t>
      </w:r>
    </w:p>
    <w:p w:rsidR="00AA5AE3" w:rsidRPr="00AE25E6" w:rsidRDefault="00AA5AE3" w:rsidP="00AA5AE3">
      <w:pPr>
        <w:pStyle w:val="ListParagraph"/>
        <w:rPr>
          <w:rFonts w:cs="Times New Roman"/>
          <w:sz w:val="23"/>
          <w:szCs w:val="23"/>
        </w:rPr>
      </w:pPr>
    </w:p>
    <w:p w:rsidR="005B308B" w:rsidRPr="00AE25E6" w:rsidRDefault="005B308B" w:rsidP="00AA5AE3">
      <w:pPr>
        <w:pStyle w:val="ListParagraph"/>
        <w:rPr>
          <w:rFonts w:cs="Times New Roman"/>
          <w:sz w:val="23"/>
          <w:szCs w:val="23"/>
        </w:rPr>
      </w:pPr>
      <w:r w:rsidRPr="00AE25E6">
        <w:rPr>
          <w:rFonts w:cs="Times New Roman"/>
          <w:sz w:val="23"/>
          <w:szCs w:val="23"/>
        </w:rPr>
        <w:t>Title II and III of the Americans with Disabilities Act requires the provision of qualified interpreters to provide effective communication for individuals who are deaf, deafblind or hard of hearing.  Qualified interpreters are defined as one “who is able to interpret effectively, accurately and impartially, both receptively and expressively, using any necessary specialized vocabulary."</w:t>
      </w:r>
    </w:p>
    <w:p w:rsidR="005B308B" w:rsidRPr="00AE25E6" w:rsidRDefault="005B308B" w:rsidP="00AA5AE3">
      <w:pPr>
        <w:pStyle w:val="ListParagraph"/>
        <w:rPr>
          <w:rFonts w:cs="Times New Roman"/>
          <w:sz w:val="23"/>
          <w:szCs w:val="23"/>
        </w:rPr>
      </w:pPr>
    </w:p>
    <w:p w:rsidR="00644076" w:rsidRDefault="007D01FD" w:rsidP="000168EE">
      <w:pPr>
        <w:pStyle w:val="ListParagraph"/>
        <w:rPr>
          <w:rFonts w:cs="Times New Roman"/>
          <w:sz w:val="23"/>
          <w:szCs w:val="23"/>
        </w:rPr>
      </w:pPr>
      <w:r>
        <w:rPr>
          <w:rFonts w:cs="Times New Roman"/>
          <w:sz w:val="23"/>
          <w:szCs w:val="23"/>
        </w:rPr>
        <w:t>La. R.S.</w:t>
      </w:r>
      <w:r w:rsidR="005B308B" w:rsidRPr="00AE25E6">
        <w:rPr>
          <w:rFonts w:cs="Times New Roman"/>
          <w:sz w:val="23"/>
          <w:szCs w:val="23"/>
        </w:rPr>
        <w:t xml:space="preserve"> 46:2352 states the Louisiana Commission for the Deaf, established within </w:t>
      </w:r>
      <w:r w:rsidR="00486B87">
        <w:rPr>
          <w:rFonts w:cs="Times New Roman"/>
          <w:sz w:val="23"/>
          <w:szCs w:val="23"/>
        </w:rPr>
        <w:t>LDH</w:t>
      </w:r>
      <w:r w:rsidR="005B308B" w:rsidRPr="00AE25E6">
        <w:rPr>
          <w:rFonts w:cs="Times New Roman"/>
          <w:sz w:val="23"/>
          <w:szCs w:val="23"/>
        </w:rPr>
        <w:t xml:space="preserve">, serves as the principle agency of the state to promote the general welfare of d/Deaf, DeafBlind and hard of hearing individuals. </w:t>
      </w:r>
      <w:r>
        <w:rPr>
          <w:rFonts w:cs="Times New Roman"/>
          <w:sz w:val="23"/>
          <w:szCs w:val="23"/>
        </w:rPr>
        <w:t>La. R.S.</w:t>
      </w:r>
      <w:r w:rsidR="005B308B" w:rsidRPr="00AE25E6">
        <w:rPr>
          <w:rFonts w:cs="Times New Roman"/>
          <w:sz w:val="23"/>
          <w:szCs w:val="23"/>
        </w:rPr>
        <w:t xml:space="preserve"> 46:2353 </w:t>
      </w:r>
      <w:r>
        <w:rPr>
          <w:rFonts w:cs="Times New Roman"/>
          <w:sz w:val="23"/>
          <w:szCs w:val="23"/>
        </w:rPr>
        <w:t xml:space="preserve">further requires </w:t>
      </w:r>
      <w:r w:rsidR="005B308B" w:rsidRPr="00AE25E6">
        <w:rPr>
          <w:rFonts w:cs="Times New Roman"/>
          <w:sz w:val="23"/>
          <w:szCs w:val="23"/>
        </w:rPr>
        <w:t xml:space="preserve">the Louisiana Commission for the </w:t>
      </w:r>
      <w:r>
        <w:rPr>
          <w:rFonts w:cs="Times New Roman"/>
          <w:sz w:val="23"/>
          <w:szCs w:val="23"/>
        </w:rPr>
        <w:t>Deaf to</w:t>
      </w:r>
      <w:r w:rsidR="005B308B" w:rsidRPr="00AE25E6">
        <w:rPr>
          <w:rFonts w:cs="Times New Roman"/>
          <w:sz w:val="23"/>
          <w:szCs w:val="23"/>
        </w:rPr>
        <w:t xml:space="preserve"> “</w:t>
      </w:r>
      <w:r>
        <w:rPr>
          <w:rFonts w:cs="Times New Roman"/>
          <w:sz w:val="23"/>
          <w:szCs w:val="23"/>
        </w:rPr>
        <w:t>e</w:t>
      </w:r>
      <w:r w:rsidR="005B308B" w:rsidRPr="00AE25E6">
        <w:rPr>
          <w:rFonts w:cs="Times New Roman"/>
          <w:sz w:val="23"/>
          <w:szCs w:val="23"/>
        </w:rPr>
        <w:t xml:space="preserve">stablish the process and set the criteria for the professional credentialing of interpreters,” and “develop and maintain a registry of credentialed interpreters, including administrative guidelines for the registration process.” </w:t>
      </w:r>
      <w:r>
        <w:rPr>
          <w:rFonts w:cs="Times New Roman"/>
          <w:sz w:val="23"/>
          <w:szCs w:val="23"/>
        </w:rPr>
        <w:t xml:space="preserve">This provision establishes a standard to ensure that those persons who are </w:t>
      </w:r>
      <w:r w:rsidRPr="007D01FD">
        <w:rPr>
          <w:rFonts w:cs="Times New Roman"/>
          <w:sz w:val="23"/>
          <w:szCs w:val="23"/>
        </w:rPr>
        <w:t>d/Deaf, DeafBlind and hard of hearing</w:t>
      </w:r>
      <w:r>
        <w:rPr>
          <w:rFonts w:cs="Times New Roman"/>
          <w:sz w:val="23"/>
          <w:szCs w:val="23"/>
        </w:rPr>
        <w:t xml:space="preserve"> are protected, considered, and receive the appropriate accommodations from qualified individuals. </w:t>
      </w:r>
    </w:p>
    <w:p w:rsidR="000168EE" w:rsidRPr="00AE25E6" w:rsidRDefault="000168EE" w:rsidP="000168EE">
      <w:pPr>
        <w:pStyle w:val="ListParagraph"/>
        <w:rPr>
          <w:rFonts w:cs="Times New Roman"/>
          <w:sz w:val="23"/>
          <w:szCs w:val="23"/>
        </w:rPr>
      </w:pPr>
    </w:p>
    <w:p w:rsidR="00644076" w:rsidRPr="003F03E2" w:rsidRDefault="00644076" w:rsidP="00AA5AE3">
      <w:pPr>
        <w:pStyle w:val="ListParagraph"/>
        <w:numPr>
          <w:ilvl w:val="0"/>
          <w:numId w:val="3"/>
        </w:numPr>
        <w:rPr>
          <w:rFonts w:cs="Times New Roman"/>
          <w:b/>
          <w:sz w:val="23"/>
          <w:szCs w:val="23"/>
        </w:rPr>
      </w:pPr>
      <w:r w:rsidRPr="003F03E2">
        <w:rPr>
          <w:rFonts w:cs="Times New Roman"/>
          <w:b/>
          <w:sz w:val="23"/>
          <w:szCs w:val="23"/>
        </w:rPr>
        <w:t xml:space="preserve">Do any less restrictive alternatives to the </w:t>
      </w:r>
      <w:r w:rsidR="002C1AE4" w:rsidRPr="003F03E2">
        <w:rPr>
          <w:rFonts w:cs="Times New Roman"/>
          <w:b/>
          <w:sz w:val="23"/>
          <w:szCs w:val="23"/>
        </w:rPr>
        <w:t>occupational regulation</w:t>
      </w:r>
      <w:r w:rsidRPr="003F03E2">
        <w:rPr>
          <w:rFonts w:cs="Times New Roman"/>
          <w:b/>
          <w:sz w:val="23"/>
          <w:szCs w:val="23"/>
        </w:rPr>
        <w:t xml:space="preserve"> exist for addressing the same harm? If so, include a comparison of the </w:t>
      </w:r>
      <w:r w:rsidR="002C1AE4" w:rsidRPr="003F03E2">
        <w:rPr>
          <w:rFonts w:cs="Times New Roman"/>
          <w:b/>
          <w:sz w:val="23"/>
          <w:szCs w:val="23"/>
        </w:rPr>
        <w:t>occupational regulation</w:t>
      </w:r>
      <w:r w:rsidRPr="003F03E2">
        <w:rPr>
          <w:rFonts w:cs="Times New Roman"/>
          <w:b/>
          <w:sz w:val="23"/>
          <w:szCs w:val="23"/>
        </w:rPr>
        <w:t xml:space="preserve"> to the alternatives </w:t>
      </w:r>
      <w:r w:rsidRPr="003F03E2">
        <w:rPr>
          <w:rFonts w:cs="Times New Roman"/>
          <w:b/>
          <w:sz w:val="23"/>
          <w:szCs w:val="23"/>
        </w:rPr>
        <w:lastRenderedPageBreak/>
        <w:t xml:space="preserve">and a justification for not pursuing a less restrictive alternative. If no less restrictive alternatives exist, explain why. </w:t>
      </w:r>
    </w:p>
    <w:p w:rsidR="00366BC5" w:rsidRPr="00AE25E6" w:rsidRDefault="00366BC5" w:rsidP="00366BC5">
      <w:pPr>
        <w:pStyle w:val="ListParagraph"/>
        <w:rPr>
          <w:rFonts w:cs="Times New Roman"/>
          <w:sz w:val="23"/>
          <w:szCs w:val="23"/>
        </w:rPr>
      </w:pPr>
    </w:p>
    <w:p w:rsidR="00D64944" w:rsidRDefault="00366BC5" w:rsidP="0087215D">
      <w:pPr>
        <w:pStyle w:val="ListParagraph"/>
        <w:rPr>
          <w:rFonts w:cs="Times New Roman"/>
          <w:sz w:val="23"/>
          <w:szCs w:val="23"/>
        </w:rPr>
      </w:pPr>
      <w:r>
        <w:rPr>
          <w:rFonts w:cs="Times New Roman"/>
          <w:sz w:val="23"/>
          <w:szCs w:val="23"/>
        </w:rPr>
        <w:t>We believe that the</w:t>
      </w:r>
      <w:r w:rsidR="0087215D">
        <w:rPr>
          <w:rFonts w:cs="Times New Roman"/>
          <w:sz w:val="23"/>
          <w:szCs w:val="23"/>
        </w:rPr>
        <w:t xml:space="preserve"> proposed rule is the least restrictive option. </w:t>
      </w:r>
      <w:r>
        <w:rPr>
          <w:rFonts w:cs="Times New Roman"/>
          <w:sz w:val="23"/>
          <w:szCs w:val="23"/>
        </w:rPr>
        <w:t>It</w:t>
      </w:r>
      <w:r w:rsidR="0087215D">
        <w:rPr>
          <w:rFonts w:cs="Times New Roman"/>
          <w:sz w:val="23"/>
          <w:szCs w:val="23"/>
        </w:rPr>
        <w:t xml:space="preserve"> allows for recognition of multiple certifications with alternative pathways. The alternative would be to not require sign language interpreters to have any specific certification, which </w:t>
      </w:r>
      <w:r>
        <w:rPr>
          <w:rFonts w:cs="Times New Roman"/>
          <w:sz w:val="23"/>
          <w:szCs w:val="23"/>
        </w:rPr>
        <w:t xml:space="preserve">could prove </w:t>
      </w:r>
      <w:r w:rsidR="0087215D">
        <w:rPr>
          <w:rFonts w:cs="Times New Roman"/>
          <w:sz w:val="23"/>
          <w:szCs w:val="23"/>
        </w:rPr>
        <w:t>harmful</w:t>
      </w:r>
      <w:r>
        <w:rPr>
          <w:rFonts w:cs="Times New Roman"/>
          <w:sz w:val="23"/>
          <w:szCs w:val="23"/>
        </w:rPr>
        <w:t xml:space="preserve"> for those who are in need of interpreter services and accommodations</w:t>
      </w:r>
      <w:r w:rsidR="0087215D">
        <w:rPr>
          <w:rFonts w:cs="Times New Roman"/>
          <w:sz w:val="23"/>
          <w:szCs w:val="23"/>
        </w:rPr>
        <w:t xml:space="preserve">. </w:t>
      </w:r>
    </w:p>
    <w:p w:rsidR="0087215D" w:rsidRPr="00AE25E6" w:rsidRDefault="0087215D" w:rsidP="0087215D">
      <w:pPr>
        <w:pStyle w:val="ListParagraph"/>
        <w:rPr>
          <w:rFonts w:cs="Times New Roman"/>
          <w:sz w:val="23"/>
          <w:szCs w:val="23"/>
        </w:rPr>
      </w:pPr>
    </w:p>
    <w:p w:rsidR="00644076" w:rsidRPr="003F03E2" w:rsidRDefault="002C0335" w:rsidP="00AA5AE3">
      <w:pPr>
        <w:pStyle w:val="ListParagraph"/>
        <w:numPr>
          <w:ilvl w:val="0"/>
          <w:numId w:val="3"/>
        </w:numPr>
        <w:rPr>
          <w:rFonts w:cs="Times New Roman"/>
          <w:b/>
          <w:sz w:val="23"/>
          <w:szCs w:val="23"/>
        </w:rPr>
      </w:pPr>
      <w:r w:rsidRPr="003F03E2">
        <w:rPr>
          <w:rFonts w:cs="Times New Roman"/>
          <w:b/>
          <w:sz w:val="23"/>
          <w:szCs w:val="23"/>
        </w:rPr>
        <w:t xml:space="preserve">Describe the process that the </w:t>
      </w:r>
      <w:r w:rsidR="00B164B7" w:rsidRPr="003F03E2">
        <w:rPr>
          <w:rFonts w:cs="Times New Roman"/>
          <w:b/>
          <w:sz w:val="23"/>
          <w:szCs w:val="23"/>
        </w:rPr>
        <w:t>occupational licensing board</w:t>
      </w:r>
      <w:r w:rsidRPr="003F03E2">
        <w:rPr>
          <w:rFonts w:cs="Times New Roman"/>
          <w:b/>
          <w:sz w:val="23"/>
          <w:szCs w:val="23"/>
        </w:rPr>
        <w:t xml:space="preserve"> followed in developing the proposed rule, including </w:t>
      </w:r>
      <w:r w:rsidR="00B164B7" w:rsidRPr="003F03E2">
        <w:rPr>
          <w:rFonts w:cs="Times New Roman"/>
          <w:b/>
          <w:sz w:val="23"/>
          <w:szCs w:val="23"/>
        </w:rPr>
        <w:t>any public hearings held</w:t>
      </w:r>
      <w:r w:rsidRPr="003F03E2">
        <w:rPr>
          <w:rFonts w:cs="Times New Roman"/>
          <w:b/>
          <w:sz w:val="23"/>
          <w:szCs w:val="23"/>
        </w:rPr>
        <w:t xml:space="preserve">, studies conducted, and data collected or analyzed. </w:t>
      </w:r>
    </w:p>
    <w:p w:rsidR="003F03E2" w:rsidRDefault="00D64944" w:rsidP="0032691B">
      <w:pPr>
        <w:ind w:left="720"/>
        <w:rPr>
          <w:rFonts w:cs="Times New Roman"/>
          <w:sz w:val="23"/>
          <w:szCs w:val="23"/>
        </w:rPr>
      </w:pPr>
      <w:r w:rsidRPr="0032691B">
        <w:rPr>
          <w:rFonts w:cs="Times New Roman"/>
          <w:sz w:val="23"/>
          <w:szCs w:val="23"/>
        </w:rPr>
        <w:t xml:space="preserve">In accordance with the legislation enacted in 2022, </w:t>
      </w:r>
      <w:r w:rsidR="00486B87">
        <w:rPr>
          <w:rFonts w:cs="Times New Roman"/>
          <w:sz w:val="23"/>
          <w:szCs w:val="23"/>
        </w:rPr>
        <w:t>the Louisiana Department of Health (LDH)</w:t>
      </w:r>
      <w:r w:rsidRPr="0032691B">
        <w:rPr>
          <w:rFonts w:cs="Times New Roman"/>
          <w:sz w:val="23"/>
          <w:szCs w:val="23"/>
        </w:rPr>
        <w:t xml:space="preserve"> proceeded through the rulemaking process, which </w:t>
      </w:r>
      <w:proofErr w:type="gramStart"/>
      <w:r w:rsidRPr="0032691B">
        <w:rPr>
          <w:rFonts w:cs="Times New Roman"/>
          <w:sz w:val="23"/>
          <w:szCs w:val="23"/>
        </w:rPr>
        <w:t>was first informed</w:t>
      </w:r>
      <w:proofErr w:type="gramEnd"/>
      <w:r w:rsidRPr="0032691B">
        <w:rPr>
          <w:rFonts w:cs="Times New Roman"/>
          <w:sz w:val="23"/>
          <w:szCs w:val="23"/>
        </w:rPr>
        <w:t xml:space="preserve"> by extensive research and public engagement. In an effort to ensure that registration requirements, grievance procedures and any standards for the workforce were both rigorous and feasible, </w:t>
      </w:r>
      <w:r w:rsidR="00486B87">
        <w:rPr>
          <w:rFonts w:cs="Times New Roman"/>
          <w:sz w:val="23"/>
          <w:szCs w:val="23"/>
        </w:rPr>
        <w:t>LDH</w:t>
      </w:r>
      <w:r w:rsidRPr="0032691B">
        <w:rPr>
          <w:rFonts w:cs="Times New Roman"/>
          <w:sz w:val="23"/>
          <w:szCs w:val="23"/>
        </w:rPr>
        <w:t xml:space="preserve"> began the work of development of these occupational standards with a statewide needs assessment of current and national policies and best practices related to interpreting and interpreter qualifications. This was followed by the publication of a comprehensive report to inform standards for the workforce, which was disseminated to the public in March 2023. Following the publication of the report, </w:t>
      </w:r>
      <w:r w:rsidR="00486B87">
        <w:rPr>
          <w:rFonts w:cs="Times New Roman"/>
          <w:sz w:val="23"/>
          <w:szCs w:val="23"/>
        </w:rPr>
        <w:t>LDH</w:t>
      </w:r>
      <w:r w:rsidRPr="0032691B">
        <w:rPr>
          <w:rFonts w:cs="Times New Roman"/>
          <w:sz w:val="23"/>
          <w:szCs w:val="23"/>
        </w:rPr>
        <w:t xml:space="preserve"> convened an ad hoc committee of sign language interpreters, professional organizations, and a Deaf community member to function as an expert panel to inform the minimum standards and requirements for sign language interpreters in the state. This group held six public meetings and generated recommendations in accordance with their charge. </w:t>
      </w:r>
    </w:p>
    <w:p w:rsidR="003F03E2" w:rsidRDefault="00D64944" w:rsidP="0032691B">
      <w:pPr>
        <w:ind w:left="720"/>
        <w:rPr>
          <w:rFonts w:cs="Times New Roman"/>
          <w:sz w:val="23"/>
          <w:szCs w:val="23"/>
        </w:rPr>
      </w:pPr>
      <w:r w:rsidRPr="0032691B">
        <w:rPr>
          <w:rFonts w:cs="Times New Roman"/>
          <w:sz w:val="23"/>
          <w:szCs w:val="23"/>
        </w:rPr>
        <w:t xml:space="preserve">Using the information from the reports, meetings and the ad hoc committee, </w:t>
      </w:r>
      <w:r w:rsidR="00486B87">
        <w:rPr>
          <w:rFonts w:cs="Times New Roman"/>
          <w:sz w:val="23"/>
          <w:szCs w:val="23"/>
        </w:rPr>
        <w:t>LDH</w:t>
      </w:r>
      <w:r w:rsidRPr="0032691B">
        <w:rPr>
          <w:rFonts w:cs="Times New Roman"/>
          <w:sz w:val="23"/>
          <w:szCs w:val="23"/>
        </w:rPr>
        <w:t xml:space="preserve"> drafted potential registration requirements, qualifications, and standards for elevation to the Louisiana Commission for the Deaf Board of Commissioners for their consideration and approval. The Louisiana Commission for the Deaf Board of Commissioners then created a second ad hoc group of board members to address public comments regarding elements of the minimum qualifications for sign language interpreters working in PreK-12 settings recommended by the interpreter ad hoc group. Two additional ad hoc meetings </w:t>
      </w:r>
      <w:proofErr w:type="gramStart"/>
      <w:r w:rsidRPr="0032691B">
        <w:rPr>
          <w:rFonts w:cs="Times New Roman"/>
          <w:sz w:val="23"/>
          <w:szCs w:val="23"/>
        </w:rPr>
        <w:t>were held</w:t>
      </w:r>
      <w:proofErr w:type="gramEnd"/>
      <w:r w:rsidRPr="0032691B">
        <w:rPr>
          <w:rFonts w:cs="Times New Roman"/>
          <w:sz w:val="23"/>
          <w:szCs w:val="23"/>
        </w:rPr>
        <w:t xml:space="preserve"> in 2024, with the final recommendations being presented and approved in January 2025. </w:t>
      </w:r>
    </w:p>
    <w:p w:rsidR="00D64944" w:rsidRPr="0032691B" w:rsidRDefault="00D64944" w:rsidP="0032691B">
      <w:pPr>
        <w:ind w:left="720"/>
        <w:rPr>
          <w:rFonts w:cs="Times New Roman"/>
          <w:sz w:val="23"/>
          <w:szCs w:val="23"/>
        </w:rPr>
      </w:pPr>
      <w:r w:rsidRPr="0032691B">
        <w:rPr>
          <w:rFonts w:cs="Times New Roman"/>
          <w:sz w:val="23"/>
          <w:szCs w:val="23"/>
        </w:rPr>
        <w:t xml:space="preserve">Standards for sign language interpreters working in community settings </w:t>
      </w:r>
      <w:proofErr w:type="gramStart"/>
      <w:r w:rsidRPr="0032691B">
        <w:rPr>
          <w:rFonts w:cs="Times New Roman"/>
          <w:sz w:val="23"/>
          <w:szCs w:val="23"/>
        </w:rPr>
        <w:t>were identified</w:t>
      </w:r>
      <w:proofErr w:type="gramEnd"/>
      <w:r w:rsidRPr="0032691B">
        <w:rPr>
          <w:rFonts w:cs="Times New Roman"/>
          <w:sz w:val="23"/>
          <w:szCs w:val="23"/>
        </w:rPr>
        <w:t xml:space="preserve"> through the aforementioned work, plus several additional workgroups of sign language interpreters and Deaf community members, with final recommendation and approval by the Board of Commissioners during a special session in February 2025. This concluded the pre-rulemaking engagement and resulted in new minimum qualification standards and registration requirements for sign language interpreters working in the state, including those historically under the purview of the Louisiana Department of Education. The Notice of Intent (NOI) to promulgate Title 46</w:t>
      </w:r>
      <w:proofErr w:type="gramStart"/>
      <w:r w:rsidRPr="0032691B">
        <w:rPr>
          <w:rFonts w:cs="Times New Roman"/>
          <w:sz w:val="23"/>
          <w:szCs w:val="23"/>
        </w:rPr>
        <w:t>:LXXII</w:t>
      </w:r>
      <w:proofErr w:type="gramEnd"/>
      <w:r w:rsidRPr="0032691B">
        <w:rPr>
          <w:rFonts w:cs="Times New Roman"/>
          <w:sz w:val="23"/>
          <w:szCs w:val="23"/>
        </w:rPr>
        <w:t xml:space="preserve">- Professional and Occupation Standards, Sign Language Interpreters, Chapters 1-3, was published on pages 97-104 of the May 20, 2025 </w:t>
      </w:r>
      <w:r w:rsidRPr="0032691B">
        <w:rPr>
          <w:rFonts w:cs="Times New Roman"/>
          <w:sz w:val="23"/>
          <w:szCs w:val="23"/>
        </w:rPr>
        <w:lastRenderedPageBreak/>
        <w:t xml:space="preserve">issue of the Louisiana Register. The deadline to submit written comments, via the U.S. Mail or via email, in response to the NOI or to request a public hearing </w:t>
      </w:r>
      <w:proofErr w:type="gramStart"/>
      <w:r w:rsidRPr="0032691B">
        <w:rPr>
          <w:rFonts w:cs="Times New Roman"/>
          <w:sz w:val="23"/>
          <w:szCs w:val="23"/>
        </w:rPr>
        <w:t>was published</w:t>
      </w:r>
      <w:proofErr w:type="gramEnd"/>
      <w:r w:rsidRPr="0032691B">
        <w:rPr>
          <w:rFonts w:cs="Times New Roman"/>
          <w:sz w:val="23"/>
          <w:szCs w:val="23"/>
        </w:rPr>
        <w:t xml:space="preserve"> June 10, 2025 at 4:30 p.m. </w:t>
      </w:r>
    </w:p>
    <w:p w:rsidR="00D64944" w:rsidRPr="00AE25E6" w:rsidRDefault="00D64944" w:rsidP="00D64944">
      <w:pPr>
        <w:pStyle w:val="ListParagraph"/>
        <w:rPr>
          <w:rFonts w:cs="Times New Roman"/>
          <w:sz w:val="23"/>
          <w:szCs w:val="23"/>
        </w:rPr>
      </w:pPr>
      <w:r w:rsidRPr="00AE25E6">
        <w:rPr>
          <w:rFonts w:cs="Times New Roman"/>
          <w:sz w:val="23"/>
          <w:szCs w:val="23"/>
        </w:rPr>
        <w:t xml:space="preserve">LDH received three written public comments in response to the NOI, along with seven written requests for a public hearing, by 4:30 p.m. on June 10, 2025. </w:t>
      </w:r>
      <w:r w:rsidR="00486B87">
        <w:rPr>
          <w:rFonts w:cs="Times New Roman"/>
          <w:sz w:val="23"/>
          <w:szCs w:val="23"/>
        </w:rPr>
        <w:t>LDH</w:t>
      </w:r>
      <w:r w:rsidRPr="00AE25E6">
        <w:rPr>
          <w:rFonts w:cs="Times New Roman"/>
          <w:sz w:val="23"/>
          <w:szCs w:val="23"/>
        </w:rPr>
        <w:t xml:space="preserve"> also received several written responses requesting a public hearing after the June 10, 2025 postmarked deadline. While the seven requests for a public hearing received timely did not meet the legal requirements of a public hearing according to R.S. 49:53(A</w:t>
      </w:r>
      <w:proofErr w:type="gramStart"/>
      <w:r w:rsidRPr="00AE25E6">
        <w:rPr>
          <w:rFonts w:cs="Times New Roman"/>
          <w:sz w:val="23"/>
          <w:szCs w:val="23"/>
        </w:rPr>
        <w:t>)(</w:t>
      </w:r>
      <w:proofErr w:type="gramEnd"/>
      <w:r w:rsidRPr="00AE25E6">
        <w:rPr>
          <w:rFonts w:cs="Times New Roman"/>
          <w:sz w:val="23"/>
          <w:szCs w:val="23"/>
        </w:rPr>
        <w:t xml:space="preserve">2)(a), LDH elected to host a public hearing to provide an additional opportunity for public comment. </w:t>
      </w:r>
      <w:r w:rsidR="003F03E2" w:rsidRPr="00AE25E6">
        <w:rPr>
          <w:rFonts w:cs="Times New Roman"/>
          <w:sz w:val="23"/>
          <w:szCs w:val="23"/>
        </w:rPr>
        <w:t xml:space="preserve">The attendance record for the public hearing included 34 public attendees, </w:t>
      </w:r>
      <w:proofErr w:type="gramStart"/>
      <w:r w:rsidR="003F03E2" w:rsidRPr="00AE25E6">
        <w:rPr>
          <w:rFonts w:cs="Times New Roman"/>
          <w:sz w:val="23"/>
          <w:szCs w:val="23"/>
        </w:rPr>
        <w:t>five</w:t>
      </w:r>
      <w:proofErr w:type="gramEnd"/>
      <w:r w:rsidR="003F03E2" w:rsidRPr="00AE25E6">
        <w:rPr>
          <w:rFonts w:cs="Times New Roman"/>
          <w:sz w:val="23"/>
          <w:szCs w:val="23"/>
        </w:rPr>
        <w:t xml:space="preserve"> LDH employees, and five individuals providing communication access (contracted by the Louisiana Commission for the Deaf). Eight individuals provided verbal comments, of which four were also provided prior via written re</w:t>
      </w:r>
      <w:r w:rsidR="003F03E2">
        <w:rPr>
          <w:rFonts w:cs="Times New Roman"/>
          <w:sz w:val="23"/>
          <w:szCs w:val="23"/>
        </w:rPr>
        <w:t xml:space="preserve">sponse, as not to be duplicated. </w:t>
      </w:r>
      <w:r w:rsidRPr="00AE25E6">
        <w:rPr>
          <w:rFonts w:cs="Times New Roman"/>
          <w:sz w:val="23"/>
          <w:szCs w:val="23"/>
        </w:rPr>
        <w:t>Th</w:t>
      </w:r>
      <w:r w:rsidR="003F03E2">
        <w:rPr>
          <w:rFonts w:cs="Times New Roman"/>
          <w:sz w:val="23"/>
          <w:szCs w:val="23"/>
        </w:rPr>
        <w:t>e</w:t>
      </w:r>
      <w:r w:rsidR="00E53E3C">
        <w:rPr>
          <w:rFonts w:cs="Times New Roman"/>
          <w:sz w:val="23"/>
          <w:szCs w:val="23"/>
        </w:rPr>
        <w:t xml:space="preserve"> </w:t>
      </w:r>
      <w:r w:rsidRPr="00AE25E6">
        <w:rPr>
          <w:rFonts w:cs="Times New Roman"/>
          <w:sz w:val="23"/>
          <w:szCs w:val="23"/>
        </w:rPr>
        <w:t xml:space="preserve">hearing was held on June 26, 2025 at 10:00 a.m. </w:t>
      </w:r>
      <w:r w:rsidR="00E53E3C">
        <w:rPr>
          <w:rFonts w:cs="Times New Roman"/>
          <w:sz w:val="23"/>
          <w:szCs w:val="23"/>
        </w:rPr>
        <w:t xml:space="preserve">It concluded at 10:50 </w:t>
      </w:r>
      <w:proofErr w:type="spellStart"/>
      <w:r w:rsidR="00E53E3C">
        <w:rPr>
          <w:rFonts w:cs="Times New Roman"/>
          <w:sz w:val="23"/>
          <w:szCs w:val="23"/>
        </w:rPr>
        <w:t>a.m</w:t>
      </w:r>
      <w:proofErr w:type="spellEnd"/>
      <w:r w:rsidR="00E53E3C">
        <w:rPr>
          <w:rFonts w:cs="Times New Roman"/>
          <w:sz w:val="23"/>
          <w:szCs w:val="23"/>
        </w:rPr>
        <w:t xml:space="preserve">, and </w:t>
      </w:r>
      <w:r w:rsidRPr="00AE25E6">
        <w:rPr>
          <w:rFonts w:cs="Times New Roman"/>
          <w:sz w:val="23"/>
          <w:szCs w:val="23"/>
        </w:rPr>
        <w:t xml:space="preserve">LDH continued to accept written public comments until 4:30 p.m. on June 26, 2025. </w:t>
      </w:r>
    </w:p>
    <w:p w:rsidR="0087215D" w:rsidRPr="00AE25E6" w:rsidRDefault="0087215D" w:rsidP="0087215D">
      <w:pPr>
        <w:pStyle w:val="ListParagraph"/>
        <w:rPr>
          <w:rFonts w:cs="Times New Roman"/>
          <w:sz w:val="23"/>
          <w:szCs w:val="23"/>
        </w:rPr>
      </w:pPr>
    </w:p>
    <w:p w:rsidR="00B164B7" w:rsidRPr="003F03E2" w:rsidRDefault="002C0335" w:rsidP="00AA5AE3">
      <w:pPr>
        <w:pStyle w:val="ListParagraph"/>
        <w:numPr>
          <w:ilvl w:val="0"/>
          <w:numId w:val="3"/>
        </w:numPr>
        <w:rPr>
          <w:rFonts w:cs="Times New Roman"/>
          <w:b/>
          <w:sz w:val="23"/>
          <w:szCs w:val="23"/>
        </w:rPr>
      </w:pPr>
      <w:r w:rsidRPr="003F03E2">
        <w:rPr>
          <w:rFonts w:cs="Times New Roman"/>
          <w:b/>
          <w:sz w:val="23"/>
          <w:szCs w:val="23"/>
        </w:rPr>
        <w:t xml:space="preserve">Does the </w:t>
      </w:r>
      <w:r w:rsidR="002C1AE4" w:rsidRPr="003F03E2">
        <w:rPr>
          <w:rFonts w:cs="Times New Roman"/>
          <w:b/>
          <w:sz w:val="23"/>
          <w:szCs w:val="23"/>
        </w:rPr>
        <w:t>occupational regulation</w:t>
      </w:r>
      <w:r w:rsidRPr="003F03E2">
        <w:rPr>
          <w:rFonts w:cs="Times New Roman"/>
          <w:b/>
          <w:sz w:val="23"/>
          <w:szCs w:val="23"/>
        </w:rPr>
        <w:t xml:space="preserve"> relate to a matter on which there is pending litigation or a final court order? </w:t>
      </w:r>
    </w:p>
    <w:p w:rsidR="003F03E2" w:rsidRDefault="003F03E2" w:rsidP="0087215D">
      <w:pPr>
        <w:pStyle w:val="ListParagraph"/>
        <w:rPr>
          <w:rFonts w:cs="Times New Roman"/>
          <w:sz w:val="23"/>
          <w:szCs w:val="23"/>
        </w:rPr>
      </w:pPr>
    </w:p>
    <w:p w:rsidR="00B95E41" w:rsidRDefault="003F03E2" w:rsidP="0087215D">
      <w:pPr>
        <w:pStyle w:val="ListParagraph"/>
        <w:rPr>
          <w:rFonts w:cs="Times New Roman"/>
          <w:sz w:val="23"/>
          <w:szCs w:val="23"/>
        </w:rPr>
      </w:pPr>
      <w:r>
        <w:rPr>
          <w:rFonts w:cs="Times New Roman"/>
          <w:sz w:val="23"/>
          <w:szCs w:val="23"/>
        </w:rPr>
        <w:t>No. At this time, there is no known litigation relative to the proposed rule.</w:t>
      </w:r>
    </w:p>
    <w:p w:rsidR="0087215D" w:rsidRPr="00AE25E6" w:rsidRDefault="0087215D" w:rsidP="0087215D">
      <w:pPr>
        <w:pStyle w:val="ListParagraph"/>
        <w:rPr>
          <w:rFonts w:cs="Times New Roman"/>
          <w:sz w:val="23"/>
          <w:szCs w:val="23"/>
        </w:rPr>
      </w:pPr>
    </w:p>
    <w:p w:rsidR="00B95E41" w:rsidRPr="003F03E2" w:rsidRDefault="00B95E41" w:rsidP="00AA5AE3">
      <w:pPr>
        <w:pStyle w:val="ListParagraph"/>
        <w:numPr>
          <w:ilvl w:val="0"/>
          <w:numId w:val="3"/>
        </w:numPr>
        <w:jc w:val="both"/>
        <w:rPr>
          <w:rFonts w:cs="Times New Roman"/>
          <w:b/>
          <w:sz w:val="23"/>
          <w:szCs w:val="23"/>
        </w:rPr>
      </w:pPr>
      <w:r w:rsidRPr="003F03E2">
        <w:rPr>
          <w:rFonts w:cs="Times New Roman"/>
          <w:b/>
          <w:sz w:val="23"/>
          <w:szCs w:val="23"/>
        </w:rPr>
        <w:t>Please identify the board members vot</w:t>
      </w:r>
      <w:r w:rsidR="00691AA6" w:rsidRPr="003F03E2">
        <w:rPr>
          <w:rFonts w:cs="Times New Roman"/>
          <w:b/>
          <w:sz w:val="23"/>
          <w:szCs w:val="23"/>
        </w:rPr>
        <w:t xml:space="preserve">ing in favor of this rule, and </w:t>
      </w:r>
      <w:r w:rsidRPr="003F03E2">
        <w:rPr>
          <w:rFonts w:cs="Times New Roman"/>
          <w:b/>
          <w:sz w:val="23"/>
          <w:szCs w:val="23"/>
        </w:rPr>
        <w:t xml:space="preserve">state whether the member is an active market participant. </w:t>
      </w:r>
    </w:p>
    <w:p w:rsidR="00B273D0" w:rsidRPr="00AE25E6" w:rsidRDefault="00B273D0" w:rsidP="00AA5AE3">
      <w:pPr>
        <w:pStyle w:val="ListParagraph"/>
        <w:jc w:val="both"/>
        <w:rPr>
          <w:rFonts w:cs="Times New Roman"/>
          <w:sz w:val="23"/>
          <w:szCs w:val="23"/>
        </w:rPr>
      </w:pPr>
    </w:p>
    <w:tbl>
      <w:tblPr>
        <w:tblStyle w:val="TableGrid"/>
        <w:tblW w:w="0" w:type="auto"/>
        <w:tblLook w:val="04A0" w:firstRow="1" w:lastRow="0" w:firstColumn="1" w:lastColumn="0" w:noHBand="0" w:noVBand="1"/>
      </w:tblPr>
      <w:tblGrid>
        <w:gridCol w:w="2447"/>
        <w:gridCol w:w="2294"/>
        <w:gridCol w:w="1916"/>
        <w:gridCol w:w="2693"/>
      </w:tblGrid>
      <w:tr w:rsidR="00FE3E2E" w:rsidRPr="00AE25E6" w:rsidTr="001C6311">
        <w:tc>
          <w:tcPr>
            <w:tcW w:w="2447" w:type="dxa"/>
          </w:tcPr>
          <w:p w:rsidR="00FE3E2E" w:rsidRPr="00E53E3C" w:rsidRDefault="00FE3E2E" w:rsidP="00AB64D2">
            <w:pPr>
              <w:jc w:val="center"/>
              <w:rPr>
                <w:b/>
                <w:sz w:val="24"/>
                <w:szCs w:val="23"/>
              </w:rPr>
            </w:pPr>
            <w:r w:rsidRPr="00E53E3C">
              <w:rPr>
                <w:b/>
                <w:sz w:val="24"/>
                <w:szCs w:val="23"/>
              </w:rPr>
              <w:t>Registration Requirements 1.19.24</w:t>
            </w:r>
          </w:p>
        </w:tc>
        <w:tc>
          <w:tcPr>
            <w:tcW w:w="2294" w:type="dxa"/>
          </w:tcPr>
          <w:p w:rsidR="00FE3E2E" w:rsidRPr="00E53E3C" w:rsidRDefault="00FE3E2E" w:rsidP="00AB64D2">
            <w:pPr>
              <w:jc w:val="center"/>
              <w:rPr>
                <w:b/>
                <w:sz w:val="24"/>
                <w:szCs w:val="23"/>
              </w:rPr>
            </w:pPr>
            <w:r w:rsidRPr="00E53E3C">
              <w:rPr>
                <w:b/>
                <w:sz w:val="24"/>
                <w:szCs w:val="23"/>
              </w:rPr>
              <w:t>PreK-12 Standards</w:t>
            </w:r>
          </w:p>
          <w:p w:rsidR="00FE3E2E" w:rsidRPr="00E53E3C" w:rsidRDefault="00FE3E2E" w:rsidP="00AB64D2">
            <w:pPr>
              <w:jc w:val="center"/>
              <w:rPr>
                <w:b/>
                <w:sz w:val="24"/>
                <w:szCs w:val="23"/>
              </w:rPr>
            </w:pPr>
            <w:r w:rsidRPr="00E53E3C">
              <w:rPr>
                <w:b/>
                <w:sz w:val="24"/>
                <w:szCs w:val="23"/>
              </w:rPr>
              <w:t>1.19.24</w:t>
            </w:r>
          </w:p>
        </w:tc>
        <w:tc>
          <w:tcPr>
            <w:tcW w:w="1916" w:type="dxa"/>
          </w:tcPr>
          <w:p w:rsidR="00FE3E2E" w:rsidRPr="00E53E3C" w:rsidRDefault="00FE3E2E" w:rsidP="00AB64D2">
            <w:pPr>
              <w:jc w:val="center"/>
              <w:rPr>
                <w:b/>
                <w:sz w:val="24"/>
                <w:szCs w:val="23"/>
              </w:rPr>
            </w:pPr>
            <w:r w:rsidRPr="00E53E3C">
              <w:rPr>
                <w:b/>
                <w:sz w:val="24"/>
                <w:szCs w:val="23"/>
              </w:rPr>
              <w:t>DOE Transition Plan 1.17.25</w:t>
            </w:r>
          </w:p>
        </w:tc>
        <w:tc>
          <w:tcPr>
            <w:tcW w:w="2693" w:type="dxa"/>
          </w:tcPr>
          <w:p w:rsidR="00FE3E2E" w:rsidRPr="00E53E3C" w:rsidRDefault="00FE3E2E" w:rsidP="00AB64D2">
            <w:pPr>
              <w:jc w:val="center"/>
              <w:rPr>
                <w:b/>
                <w:sz w:val="24"/>
                <w:szCs w:val="23"/>
              </w:rPr>
            </w:pPr>
            <w:r w:rsidRPr="00E53E3C">
              <w:rPr>
                <w:b/>
                <w:sz w:val="24"/>
                <w:szCs w:val="23"/>
              </w:rPr>
              <w:t>Community/General Standards 2.21.25</w:t>
            </w:r>
          </w:p>
        </w:tc>
      </w:tr>
      <w:tr w:rsidR="00FE3E2E" w:rsidRPr="00AE25E6" w:rsidTr="001C6311">
        <w:tc>
          <w:tcPr>
            <w:tcW w:w="2447" w:type="dxa"/>
          </w:tcPr>
          <w:p w:rsidR="00FE3E2E" w:rsidRPr="00E53E3C" w:rsidRDefault="00FE3E2E" w:rsidP="00AB64D2">
            <w:pPr>
              <w:jc w:val="center"/>
            </w:pPr>
            <w:r w:rsidRPr="00E53E3C">
              <w:t xml:space="preserve">Jay </w:t>
            </w:r>
            <w:proofErr w:type="spellStart"/>
            <w:r w:rsidRPr="00E53E3C">
              <w:t>Isch</w:t>
            </w:r>
            <w:proofErr w:type="spellEnd"/>
          </w:p>
        </w:tc>
        <w:tc>
          <w:tcPr>
            <w:tcW w:w="2294" w:type="dxa"/>
          </w:tcPr>
          <w:p w:rsidR="00FE3E2E" w:rsidRPr="00E53E3C" w:rsidRDefault="00FE3E2E" w:rsidP="00AB64D2">
            <w:pPr>
              <w:jc w:val="center"/>
            </w:pPr>
            <w:r w:rsidRPr="00E53E3C">
              <w:t xml:space="preserve">Jay </w:t>
            </w:r>
            <w:proofErr w:type="spellStart"/>
            <w:r w:rsidRPr="00E53E3C">
              <w:t>Isch</w:t>
            </w:r>
            <w:proofErr w:type="spellEnd"/>
          </w:p>
        </w:tc>
        <w:tc>
          <w:tcPr>
            <w:tcW w:w="1916" w:type="dxa"/>
          </w:tcPr>
          <w:p w:rsidR="00FE3E2E" w:rsidRPr="00E53E3C" w:rsidRDefault="00FE3E2E" w:rsidP="00AB64D2">
            <w:pPr>
              <w:jc w:val="center"/>
            </w:pPr>
            <w:r w:rsidRPr="00E53E3C">
              <w:t>Marissa Ramos</w:t>
            </w:r>
          </w:p>
        </w:tc>
        <w:tc>
          <w:tcPr>
            <w:tcW w:w="2693" w:type="dxa"/>
          </w:tcPr>
          <w:p w:rsidR="00FE3E2E" w:rsidRPr="00E53E3C" w:rsidRDefault="00FE3E2E" w:rsidP="00AB64D2">
            <w:pPr>
              <w:jc w:val="center"/>
            </w:pPr>
            <w:r w:rsidRPr="00E53E3C">
              <w:t>Dr. Natalie Delgado</w:t>
            </w:r>
          </w:p>
        </w:tc>
      </w:tr>
      <w:tr w:rsidR="00FE3E2E" w:rsidRPr="00AE25E6" w:rsidTr="001C6311">
        <w:tc>
          <w:tcPr>
            <w:tcW w:w="2447" w:type="dxa"/>
          </w:tcPr>
          <w:p w:rsidR="00FE3E2E" w:rsidRPr="00E53E3C" w:rsidRDefault="00FE3E2E" w:rsidP="00AB64D2">
            <w:pPr>
              <w:jc w:val="center"/>
            </w:pPr>
            <w:r w:rsidRPr="00E53E3C">
              <w:t xml:space="preserve">Dr. Ashley </w:t>
            </w:r>
            <w:proofErr w:type="spellStart"/>
            <w:r w:rsidRPr="00E53E3C">
              <w:t>Argrave</w:t>
            </w:r>
            <w:proofErr w:type="spellEnd"/>
          </w:p>
        </w:tc>
        <w:tc>
          <w:tcPr>
            <w:tcW w:w="2294" w:type="dxa"/>
          </w:tcPr>
          <w:p w:rsidR="00FE3E2E" w:rsidRPr="00E53E3C" w:rsidRDefault="00FE3E2E" w:rsidP="00AB64D2">
            <w:pPr>
              <w:jc w:val="center"/>
            </w:pPr>
            <w:r w:rsidRPr="00E53E3C">
              <w:t xml:space="preserve">Dr. Ashley </w:t>
            </w:r>
            <w:proofErr w:type="spellStart"/>
            <w:r w:rsidRPr="00E53E3C">
              <w:t>Argrave</w:t>
            </w:r>
            <w:proofErr w:type="spellEnd"/>
          </w:p>
        </w:tc>
        <w:tc>
          <w:tcPr>
            <w:tcW w:w="1916" w:type="dxa"/>
          </w:tcPr>
          <w:p w:rsidR="00FE3E2E" w:rsidRPr="00E53E3C" w:rsidRDefault="00FE3E2E" w:rsidP="00AB64D2">
            <w:pPr>
              <w:jc w:val="center"/>
            </w:pPr>
            <w:r w:rsidRPr="00E53E3C">
              <w:t>Sherry Crosby</w:t>
            </w:r>
          </w:p>
        </w:tc>
        <w:tc>
          <w:tcPr>
            <w:tcW w:w="2693" w:type="dxa"/>
          </w:tcPr>
          <w:p w:rsidR="00FE3E2E" w:rsidRPr="00E53E3C" w:rsidRDefault="00FE3E2E" w:rsidP="00AB64D2">
            <w:pPr>
              <w:jc w:val="center"/>
            </w:pPr>
            <w:r w:rsidRPr="00E53E3C">
              <w:t xml:space="preserve">Dr. Ashley </w:t>
            </w:r>
            <w:proofErr w:type="spellStart"/>
            <w:r w:rsidRPr="00E53E3C">
              <w:t>Argrave</w:t>
            </w:r>
            <w:proofErr w:type="spellEnd"/>
          </w:p>
        </w:tc>
      </w:tr>
      <w:tr w:rsidR="00FE3E2E" w:rsidRPr="00AE25E6" w:rsidTr="001C6311">
        <w:tc>
          <w:tcPr>
            <w:tcW w:w="2447" w:type="dxa"/>
          </w:tcPr>
          <w:p w:rsidR="00FE3E2E" w:rsidRPr="00E53E3C" w:rsidRDefault="00FE3E2E" w:rsidP="00AB64D2">
            <w:pPr>
              <w:jc w:val="center"/>
            </w:pPr>
            <w:proofErr w:type="spellStart"/>
            <w:r w:rsidRPr="00E53E3C">
              <w:t>Sajata</w:t>
            </w:r>
            <w:proofErr w:type="spellEnd"/>
            <w:r w:rsidRPr="00E53E3C">
              <w:t xml:space="preserve"> Varner</w:t>
            </w:r>
          </w:p>
        </w:tc>
        <w:tc>
          <w:tcPr>
            <w:tcW w:w="2294" w:type="dxa"/>
          </w:tcPr>
          <w:p w:rsidR="00FE3E2E" w:rsidRPr="00E53E3C" w:rsidRDefault="00FE3E2E" w:rsidP="00AB64D2">
            <w:pPr>
              <w:jc w:val="center"/>
            </w:pPr>
            <w:proofErr w:type="spellStart"/>
            <w:r w:rsidRPr="00E53E3C">
              <w:t>Sajata</w:t>
            </w:r>
            <w:proofErr w:type="spellEnd"/>
            <w:r w:rsidRPr="00E53E3C">
              <w:t xml:space="preserve"> Varner</w:t>
            </w:r>
          </w:p>
        </w:tc>
        <w:tc>
          <w:tcPr>
            <w:tcW w:w="1916" w:type="dxa"/>
          </w:tcPr>
          <w:p w:rsidR="00FE3E2E" w:rsidRPr="00E53E3C" w:rsidRDefault="00FE3E2E" w:rsidP="00AB64D2">
            <w:pPr>
              <w:jc w:val="center"/>
            </w:pPr>
            <w:r w:rsidRPr="00E53E3C">
              <w:t xml:space="preserve">Senator Caleb </w:t>
            </w:r>
            <w:proofErr w:type="spellStart"/>
            <w:r w:rsidRPr="00E53E3C">
              <w:t>Kleinpeter</w:t>
            </w:r>
            <w:proofErr w:type="spellEnd"/>
          </w:p>
        </w:tc>
        <w:tc>
          <w:tcPr>
            <w:tcW w:w="2693" w:type="dxa"/>
          </w:tcPr>
          <w:p w:rsidR="00FE3E2E" w:rsidRPr="00E53E3C" w:rsidRDefault="00FE3E2E" w:rsidP="00AB64D2">
            <w:pPr>
              <w:jc w:val="center"/>
            </w:pPr>
            <w:r w:rsidRPr="00E53E3C">
              <w:t>Sherry Powell</w:t>
            </w:r>
          </w:p>
        </w:tc>
      </w:tr>
      <w:tr w:rsidR="00FE3E2E" w:rsidRPr="00AE25E6" w:rsidTr="001C6311">
        <w:tc>
          <w:tcPr>
            <w:tcW w:w="2447" w:type="dxa"/>
          </w:tcPr>
          <w:p w:rsidR="00FE3E2E" w:rsidRPr="00E53E3C" w:rsidRDefault="00FE3E2E" w:rsidP="00AB64D2">
            <w:pPr>
              <w:jc w:val="center"/>
            </w:pPr>
            <w:r w:rsidRPr="00E53E3C">
              <w:t>Sherry Crosby</w:t>
            </w:r>
          </w:p>
        </w:tc>
        <w:tc>
          <w:tcPr>
            <w:tcW w:w="2294" w:type="dxa"/>
          </w:tcPr>
          <w:p w:rsidR="00FE3E2E" w:rsidRPr="00E53E3C" w:rsidRDefault="00FE3E2E" w:rsidP="00AB64D2">
            <w:pPr>
              <w:jc w:val="center"/>
            </w:pPr>
            <w:r w:rsidRPr="00E53E3C">
              <w:t>Sherry Crosby</w:t>
            </w:r>
          </w:p>
        </w:tc>
        <w:tc>
          <w:tcPr>
            <w:tcW w:w="1916" w:type="dxa"/>
          </w:tcPr>
          <w:p w:rsidR="00FE3E2E" w:rsidRPr="00E53E3C" w:rsidRDefault="00FE3E2E" w:rsidP="00AB64D2">
            <w:pPr>
              <w:jc w:val="center"/>
            </w:pPr>
            <w:r w:rsidRPr="00E53E3C">
              <w:t xml:space="preserve">Leslie Knowles </w:t>
            </w:r>
            <w:r w:rsidRPr="00E53E3C">
              <w:rPr>
                <w:b/>
                <w:i/>
              </w:rPr>
              <w:t>(Active Market Participant)</w:t>
            </w:r>
          </w:p>
        </w:tc>
        <w:tc>
          <w:tcPr>
            <w:tcW w:w="2693" w:type="dxa"/>
          </w:tcPr>
          <w:p w:rsidR="00FE3E2E" w:rsidRPr="00E53E3C" w:rsidRDefault="00FE3E2E" w:rsidP="00AB64D2">
            <w:pPr>
              <w:jc w:val="center"/>
            </w:pPr>
            <w:r w:rsidRPr="00E53E3C">
              <w:t>Dr. David Martin</w:t>
            </w:r>
          </w:p>
        </w:tc>
      </w:tr>
      <w:tr w:rsidR="00FE3E2E" w:rsidRPr="00AE25E6" w:rsidTr="001C6311">
        <w:tc>
          <w:tcPr>
            <w:tcW w:w="2447" w:type="dxa"/>
          </w:tcPr>
          <w:p w:rsidR="00FE3E2E" w:rsidRPr="00E53E3C" w:rsidRDefault="00FE3E2E" w:rsidP="00AB64D2">
            <w:pPr>
              <w:jc w:val="center"/>
            </w:pPr>
            <w:r w:rsidRPr="00E53E3C">
              <w:t>Sherry Powell</w:t>
            </w:r>
          </w:p>
        </w:tc>
        <w:tc>
          <w:tcPr>
            <w:tcW w:w="2294" w:type="dxa"/>
          </w:tcPr>
          <w:p w:rsidR="00FE3E2E" w:rsidRPr="00E53E3C" w:rsidRDefault="00FE3E2E" w:rsidP="00AB64D2">
            <w:pPr>
              <w:jc w:val="center"/>
            </w:pPr>
            <w:r w:rsidRPr="00E53E3C">
              <w:t>Aaron McGee</w:t>
            </w:r>
          </w:p>
        </w:tc>
        <w:tc>
          <w:tcPr>
            <w:tcW w:w="1916" w:type="dxa"/>
          </w:tcPr>
          <w:p w:rsidR="00FE3E2E" w:rsidRPr="00E53E3C" w:rsidRDefault="00FE3E2E" w:rsidP="00AB64D2">
            <w:pPr>
              <w:jc w:val="center"/>
            </w:pPr>
            <w:proofErr w:type="spellStart"/>
            <w:r w:rsidRPr="00E53E3C">
              <w:t>Cammy</w:t>
            </w:r>
            <w:proofErr w:type="spellEnd"/>
            <w:r w:rsidRPr="00E53E3C">
              <w:t xml:space="preserve"> Gaspar</w:t>
            </w:r>
          </w:p>
        </w:tc>
        <w:tc>
          <w:tcPr>
            <w:tcW w:w="2693" w:type="dxa"/>
          </w:tcPr>
          <w:p w:rsidR="00FE3E2E" w:rsidRPr="00E53E3C" w:rsidRDefault="00FE3E2E" w:rsidP="00AB64D2">
            <w:pPr>
              <w:jc w:val="center"/>
            </w:pPr>
            <w:r w:rsidRPr="00E53E3C">
              <w:t>Meredith Jordan</w:t>
            </w:r>
          </w:p>
        </w:tc>
      </w:tr>
      <w:tr w:rsidR="00FE3E2E" w:rsidRPr="00AE25E6" w:rsidTr="001C6311">
        <w:tc>
          <w:tcPr>
            <w:tcW w:w="2447" w:type="dxa"/>
          </w:tcPr>
          <w:p w:rsidR="00E53E3C" w:rsidRDefault="00FE3E2E" w:rsidP="00AB64D2">
            <w:pPr>
              <w:jc w:val="center"/>
            </w:pPr>
            <w:r w:rsidRPr="00E53E3C">
              <w:t xml:space="preserve">Denise Crochet </w:t>
            </w:r>
          </w:p>
          <w:p w:rsidR="00FE3E2E" w:rsidRPr="00E53E3C" w:rsidRDefault="00FE3E2E" w:rsidP="00AB64D2">
            <w:pPr>
              <w:jc w:val="center"/>
            </w:pPr>
            <w:r w:rsidRPr="00E53E3C">
              <w:rPr>
                <w:b/>
                <w:i/>
              </w:rPr>
              <w:t>(Active market participant)</w:t>
            </w:r>
          </w:p>
        </w:tc>
        <w:tc>
          <w:tcPr>
            <w:tcW w:w="2294" w:type="dxa"/>
          </w:tcPr>
          <w:p w:rsidR="00E53E3C" w:rsidRDefault="00FE3E2E" w:rsidP="00AB64D2">
            <w:pPr>
              <w:jc w:val="center"/>
            </w:pPr>
            <w:r w:rsidRPr="00E53E3C">
              <w:t xml:space="preserve">Denise Crochet </w:t>
            </w:r>
          </w:p>
          <w:p w:rsidR="00FE3E2E" w:rsidRPr="00E53E3C" w:rsidRDefault="00FE3E2E" w:rsidP="00AB64D2">
            <w:pPr>
              <w:jc w:val="center"/>
            </w:pPr>
            <w:r w:rsidRPr="00E53E3C">
              <w:rPr>
                <w:b/>
                <w:i/>
              </w:rPr>
              <w:t>(Active market participant)</w:t>
            </w:r>
          </w:p>
        </w:tc>
        <w:tc>
          <w:tcPr>
            <w:tcW w:w="1916" w:type="dxa"/>
          </w:tcPr>
          <w:p w:rsidR="00FE3E2E" w:rsidRPr="00E53E3C" w:rsidRDefault="00FE3E2E" w:rsidP="00AB64D2">
            <w:pPr>
              <w:jc w:val="center"/>
            </w:pPr>
          </w:p>
        </w:tc>
        <w:tc>
          <w:tcPr>
            <w:tcW w:w="2693" w:type="dxa"/>
          </w:tcPr>
          <w:p w:rsidR="00FE3E2E" w:rsidRPr="00E53E3C" w:rsidRDefault="00FE3E2E" w:rsidP="00AB64D2">
            <w:pPr>
              <w:jc w:val="center"/>
            </w:pPr>
            <w:r w:rsidRPr="00E53E3C">
              <w:t>Melissa Bayham</w:t>
            </w:r>
          </w:p>
        </w:tc>
      </w:tr>
      <w:tr w:rsidR="00FE3E2E" w:rsidRPr="00AE25E6" w:rsidTr="001C6311">
        <w:tc>
          <w:tcPr>
            <w:tcW w:w="2447" w:type="dxa"/>
          </w:tcPr>
          <w:p w:rsidR="00FE3E2E" w:rsidRPr="00E53E3C" w:rsidRDefault="00FE3E2E" w:rsidP="00AB64D2">
            <w:pPr>
              <w:jc w:val="center"/>
            </w:pPr>
            <w:r w:rsidRPr="00E53E3C">
              <w:t>Marissa Ramos</w:t>
            </w:r>
          </w:p>
        </w:tc>
        <w:tc>
          <w:tcPr>
            <w:tcW w:w="2294" w:type="dxa"/>
          </w:tcPr>
          <w:p w:rsidR="00FE3E2E" w:rsidRPr="00E53E3C" w:rsidRDefault="00FE3E2E" w:rsidP="00AB64D2">
            <w:pPr>
              <w:jc w:val="center"/>
            </w:pPr>
            <w:r w:rsidRPr="00E53E3C">
              <w:t>Marissa Ramos</w:t>
            </w:r>
          </w:p>
        </w:tc>
        <w:tc>
          <w:tcPr>
            <w:tcW w:w="1916" w:type="dxa"/>
          </w:tcPr>
          <w:p w:rsidR="00FE3E2E" w:rsidRPr="00E53E3C" w:rsidRDefault="00FE3E2E" w:rsidP="00AB64D2">
            <w:pPr>
              <w:jc w:val="center"/>
            </w:pPr>
          </w:p>
        </w:tc>
        <w:tc>
          <w:tcPr>
            <w:tcW w:w="2693" w:type="dxa"/>
          </w:tcPr>
          <w:p w:rsidR="00FE3E2E" w:rsidRPr="00E53E3C" w:rsidRDefault="00FE3E2E" w:rsidP="00AB64D2">
            <w:pPr>
              <w:jc w:val="center"/>
            </w:pPr>
            <w:r w:rsidRPr="00E53E3C">
              <w:t>Bethany Blackson</w:t>
            </w:r>
          </w:p>
        </w:tc>
      </w:tr>
      <w:tr w:rsidR="00FE3E2E" w:rsidRPr="00AE25E6" w:rsidTr="001C6311">
        <w:tc>
          <w:tcPr>
            <w:tcW w:w="2447" w:type="dxa"/>
          </w:tcPr>
          <w:p w:rsidR="00FE3E2E" w:rsidRPr="00E53E3C" w:rsidRDefault="00FE3E2E" w:rsidP="00AB64D2">
            <w:pPr>
              <w:jc w:val="center"/>
            </w:pPr>
            <w:r w:rsidRPr="00E53E3C">
              <w:t xml:space="preserve">Bambi </w:t>
            </w:r>
            <w:proofErr w:type="spellStart"/>
            <w:r w:rsidRPr="00E53E3C">
              <w:t>Polotzola</w:t>
            </w:r>
            <w:proofErr w:type="spellEnd"/>
          </w:p>
        </w:tc>
        <w:tc>
          <w:tcPr>
            <w:tcW w:w="2294" w:type="dxa"/>
          </w:tcPr>
          <w:p w:rsidR="00FE3E2E" w:rsidRPr="00E53E3C" w:rsidRDefault="00FE3E2E" w:rsidP="00AB64D2">
            <w:pPr>
              <w:jc w:val="center"/>
            </w:pPr>
            <w:r w:rsidRPr="00E53E3C">
              <w:t xml:space="preserve">Bambi </w:t>
            </w:r>
            <w:proofErr w:type="spellStart"/>
            <w:r w:rsidRPr="00E53E3C">
              <w:t>Polotzola</w:t>
            </w:r>
            <w:proofErr w:type="spellEnd"/>
          </w:p>
        </w:tc>
        <w:tc>
          <w:tcPr>
            <w:tcW w:w="1916" w:type="dxa"/>
          </w:tcPr>
          <w:p w:rsidR="00FE3E2E" w:rsidRPr="00E53E3C" w:rsidRDefault="00FE3E2E" w:rsidP="00AB64D2">
            <w:pPr>
              <w:jc w:val="center"/>
            </w:pPr>
          </w:p>
        </w:tc>
        <w:tc>
          <w:tcPr>
            <w:tcW w:w="2693" w:type="dxa"/>
          </w:tcPr>
          <w:p w:rsidR="00FE3E2E" w:rsidRPr="00E53E3C" w:rsidRDefault="00FE3E2E" w:rsidP="00AB64D2">
            <w:pPr>
              <w:jc w:val="center"/>
            </w:pPr>
            <w:r w:rsidRPr="00E53E3C">
              <w:t>Marissa Ramos</w:t>
            </w:r>
          </w:p>
        </w:tc>
      </w:tr>
      <w:tr w:rsidR="00FE3E2E" w:rsidRPr="00AE25E6" w:rsidTr="001C6311">
        <w:tc>
          <w:tcPr>
            <w:tcW w:w="2447" w:type="dxa"/>
          </w:tcPr>
          <w:p w:rsidR="00FE3E2E" w:rsidRPr="00E53E3C" w:rsidRDefault="00FE3E2E" w:rsidP="00AB64D2">
            <w:pPr>
              <w:jc w:val="center"/>
            </w:pPr>
            <w:r w:rsidRPr="00E53E3C">
              <w:t>Dr. David Martin</w:t>
            </w:r>
          </w:p>
        </w:tc>
        <w:tc>
          <w:tcPr>
            <w:tcW w:w="2294" w:type="dxa"/>
          </w:tcPr>
          <w:p w:rsidR="00FE3E2E" w:rsidRPr="00E53E3C" w:rsidRDefault="00FE3E2E" w:rsidP="00AB64D2">
            <w:pPr>
              <w:jc w:val="center"/>
            </w:pPr>
            <w:r w:rsidRPr="00E53E3C">
              <w:t>Dr. David Martin</w:t>
            </w:r>
          </w:p>
        </w:tc>
        <w:tc>
          <w:tcPr>
            <w:tcW w:w="1916" w:type="dxa"/>
          </w:tcPr>
          <w:p w:rsidR="00FE3E2E" w:rsidRPr="00E53E3C" w:rsidRDefault="00FE3E2E" w:rsidP="00AB64D2">
            <w:pPr>
              <w:jc w:val="center"/>
            </w:pPr>
          </w:p>
        </w:tc>
        <w:tc>
          <w:tcPr>
            <w:tcW w:w="2693" w:type="dxa"/>
          </w:tcPr>
          <w:p w:rsidR="00FE3E2E" w:rsidRPr="00E53E3C" w:rsidRDefault="00FE3E2E" w:rsidP="00AB64D2">
            <w:pPr>
              <w:jc w:val="center"/>
            </w:pPr>
            <w:r w:rsidRPr="00E53E3C">
              <w:t>Brad Wellons</w:t>
            </w:r>
          </w:p>
        </w:tc>
      </w:tr>
      <w:tr w:rsidR="00FE3E2E" w:rsidRPr="00AE25E6" w:rsidTr="001C6311">
        <w:tc>
          <w:tcPr>
            <w:tcW w:w="2447" w:type="dxa"/>
          </w:tcPr>
          <w:p w:rsidR="00FE3E2E" w:rsidRPr="00E53E3C" w:rsidRDefault="00FE3E2E" w:rsidP="00AB64D2">
            <w:pPr>
              <w:jc w:val="center"/>
            </w:pPr>
          </w:p>
        </w:tc>
        <w:tc>
          <w:tcPr>
            <w:tcW w:w="2294" w:type="dxa"/>
          </w:tcPr>
          <w:p w:rsidR="00FE3E2E" w:rsidRPr="00E53E3C" w:rsidRDefault="00FE3E2E" w:rsidP="00AB64D2">
            <w:pPr>
              <w:jc w:val="center"/>
            </w:pPr>
          </w:p>
        </w:tc>
        <w:tc>
          <w:tcPr>
            <w:tcW w:w="1916" w:type="dxa"/>
          </w:tcPr>
          <w:p w:rsidR="00FE3E2E" w:rsidRPr="00E53E3C" w:rsidRDefault="00FE3E2E" w:rsidP="00AB64D2">
            <w:pPr>
              <w:jc w:val="center"/>
            </w:pPr>
          </w:p>
        </w:tc>
        <w:tc>
          <w:tcPr>
            <w:tcW w:w="2693" w:type="dxa"/>
          </w:tcPr>
          <w:p w:rsidR="00E53E3C" w:rsidRPr="00E53E3C" w:rsidRDefault="00FE3E2E" w:rsidP="00AB64D2">
            <w:pPr>
              <w:jc w:val="center"/>
            </w:pPr>
            <w:r w:rsidRPr="00E53E3C">
              <w:t xml:space="preserve">Leslie Knowles </w:t>
            </w:r>
          </w:p>
          <w:p w:rsidR="00FE3E2E" w:rsidRPr="00E53E3C" w:rsidRDefault="00FE3E2E" w:rsidP="00AB64D2">
            <w:pPr>
              <w:jc w:val="center"/>
            </w:pPr>
            <w:r w:rsidRPr="00E53E3C">
              <w:rPr>
                <w:b/>
                <w:i/>
              </w:rPr>
              <w:t>(Active Market participant)</w:t>
            </w:r>
          </w:p>
        </w:tc>
      </w:tr>
    </w:tbl>
    <w:p w:rsidR="00B273D0" w:rsidRPr="00AE25E6" w:rsidRDefault="00B273D0" w:rsidP="00FE3E2E">
      <w:pPr>
        <w:jc w:val="both"/>
        <w:rPr>
          <w:rFonts w:cs="Times New Roman"/>
          <w:sz w:val="23"/>
          <w:szCs w:val="23"/>
        </w:rPr>
        <w:sectPr w:rsidR="00B273D0" w:rsidRPr="00AE25E6">
          <w:footerReference w:type="default" r:id="rId8"/>
          <w:pgSz w:w="12240" w:h="15840"/>
          <w:pgMar w:top="1440" w:right="1440" w:bottom="1440" w:left="1440" w:header="720" w:footer="720" w:gutter="0"/>
          <w:cols w:space="720"/>
          <w:docGrid w:linePitch="360"/>
        </w:sectPr>
      </w:pPr>
    </w:p>
    <w:p w:rsidR="00B273D0" w:rsidRPr="00AE25E6" w:rsidRDefault="00B273D0">
      <w:pPr>
        <w:rPr>
          <w:rFonts w:cs="Times New Roman"/>
          <w:sz w:val="23"/>
          <w:szCs w:val="23"/>
        </w:rPr>
        <w:sectPr w:rsidR="00B273D0" w:rsidRPr="00AE25E6" w:rsidSect="00B273D0">
          <w:type w:val="continuous"/>
          <w:pgSz w:w="12240" w:h="15840"/>
          <w:pgMar w:top="1440" w:right="1440" w:bottom="1440" w:left="1440" w:header="720" w:footer="720" w:gutter="0"/>
          <w:cols w:num="2" w:space="720"/>
          <w:docGrid w:linePitch="360"/>
        </w:sectPr>
      </w:pPr>
    </w:p>
    <w:p w:rsidR="00B164B7" w:rsidRPr="00AE25E6" w:rsidRDefault="00B164B7">
      <w:pPr>
        <w:rPr>
          <w:rFonts w:cs="Times New Roman"/>
          <w:sz w:val="23"/>
          <w:szCs w:val="23"/>
        </w:rPr>
      </w:pPr>
    </w:p>
    <w:p w:rsidR="002C0335" w:rsidRPr="003F03E2" w:rsidRDefault="002C0335" w:rsidP="00AA5AE3">
      <w:pPr>
        <w:pStyle w:val="ListParagraph"/>
        <w:numPr>
          <w:ilvl w:val="0"/>
          <w:numId w:val="3"/>
        </w:numPr>
        <w:rPr>
          <w:rFonts w:cs="Times New Roman"/>
          <w:b/>
          <w:sz w:val="23"/>
          <w:szCs w:val="23"/>
        </w:rPr>
      </w:pPr>
      <w:r w:rsidRPr="003F03E2">
        <w:rPr>
          <w:rFonts w:cs="Times New Roman"/>
          <w:b/>
          <w:sz w:val="23"/>
          <w:szCs w:val="23"/>
        </w:rPr>
        <w:t xml:space="preserve">Is there anything else that the </w:t>
      </w:r>
      <w:r w:rsidR="002C1AE4" w:rsidRPr="003F03E2">
        <w:rPr>
          <w:rFonts w:cs="Times New Roman"/>
          <w:b/>
          <w:sz w:val="23"/>
          <w:szCs w:val="23"/>
        </w:rPr>
        <w:t xml:space="preserve">occupational licensing board </w:t>
      </w:r>
      <w:r w:rsidRPr="003F03E2">
        <w:rPr>
          <w:rFonts w:cs="Times New Roman"/>
          <w:b/>
          <w:sz w:val="23"/>
          <w:szCs w:val="23"/>
        </w:rPr>
        <w:t xml:space="preserve">would like the </w:t>
      </w:r>
      <w:r w:rsidR="002C1AE4" w:rsidRPr="003F03E2">
        <w:rPr>
          <w:rFonts w:cs="Times New Roman"/>
          <w:b/>
          <w:sz w:val="23"/>
          <w:szCs w:val="23"/>
        </w:rPr>
        <w:t>Department</w:t>
      </w:r>
      <w:r w:rsidRPr="003F03E2">
        <w:rPr>
          <w:rFonts w:cs="Times New Roman"/>
          <w:b/>
          <w:sz w:val="23"/>
          <w:szCs w:val="23"/>
        </w:rPr>
        <w:t xml:space="preserve"> to know about the proposed rule?</w:t>
      </w:r>
    </w:p>
    <w:p w:rsidR="00AA5AE3" w:rsidRDefault="00AA5AE3" w:rsidP="00AA5AE3">
      <w:pPr>
        <w:pStyle w:val="ListParagraph"/>
        <w:rPr>
          <w:rFonts w:cs="Times New Roman"/>
          <w:sz w:val="23"/>
          <w:szCs w:val="23"/>
        </w:rPr>
      </w:pPr>
    </w:p>
    <w:p w:rsidR="0087215D" w:rsidRPr="00AE25E6" w:rsidRDefault="00B53DD6" w:rsidP="00AA5AE3">
      <w:pPr>
        <w:pStyle w:val="ListParagraph"/>
        <w:rPr>
          <w:rFonts w:cs="Times New Roman"/>
          <w:sz w:val="23"/>
          <w:szCs w:val="23"/>
        </w:rPr>
      </w:pPr>
      <w:r>
        <w:rPr>
          <w:rFonts w:cs="Times New Roman"/>
          <w:sz w:val="23"/>
          <w:szCs w:val="23"/>
        </w:rPr>
        <w:t xml:space="preserve">No. </w:t>
      </w:r>
      <w:proofErr w:type="gramStart"/>
      <w:r>
        <w:rPr>
          <w:rFonts w:cs="Times New Roman"/>
          <w:sz w:val="23"/>
          <w:szCs w:val="23"/>
        </w:rPr>
        <w:t>At this time, t</w:t>
      </w:r>
      <w:r w:rsidR="00B257B8">
        <w:rPr>
          <w:rFonts w:cs="Times New Roman"/>
          <w:sz w:val="23"/>
          <w:szCs w:val="23"/>
        </w:rPr>
        <w:t xml:space="preserve">here are no known </w:t>
      </w:r>
      <w:r w:rsidR="00B257B8" w:rsidRPr="00B257B8">
        <w:rPr>
          <w:rFonts w:cs="Times New Roman"/>
          <w:sz w:val="23"/>
          <w:szCs w:val="23"/>
        </w:rPr>
        <w:t>occupational licensing board</w:t>
      </w:r>
      <w:r w:rsidR="00B257B8">
        <w:rPr>
          <w:rFonts w:cs="Times New Roman"/>
          <w:sz w:val="23"/>
          <w:szCs w:val="23"/>
        </w:rPr>
        <w:t xml:space="preserve">s that we would like to </w:t>
      </w:r>
      <w:r>
        <w:rPr>
          <w:rFonts w:cs="Times New Roman"/>
          <w:sz w:val="23"/>
          <w:szCs w:val="23"/>
        </w:rPr>
        <w:t>notify.</w:t>
      </w:r>
      <w:proofErr w:type="gramEnd"/>
      <w:r>
        <w:rPr>
          <w:rFonts w:cs="Times New Roman"/>
          <w:sz w:val="23"/>
          <w:szCs w:val="23"/>
        </w:rPr>
        <w:t xml:space="preserve"> </w:t>
      </w:r>
    </w:p>
    <w:p w:rsidR="00BF0397" w:rsidRPr="00AE25E6" w:rsidRDefault="00BF0397">
      <w:pPr>
        <w:rPr>
          <w:rFonts w:cs="Times New Roman"/>
          <w:sz w:val="23"/>
          <w:szCs w:val="23"/>
        </w:rPr>
      </w:pPr>
    </w:p>
    <w:p w:rsidR="00BF0397" w:rsidRPr="00AE25E6" w:rsidRDefault="00BF0397">
      <w:pPr>
        <w:rPr>
          <w:rFonts w:cs="Times New Roman"/>
          <w:sz w:val="23"/>
          <w:szCs w:val="23"/>
        </w:rPr>
      </w:pPr>
    </w:p>
    <w:p w:rsidR="00BF0397" w:rsidRPr="00AE25E6" w:rsidRDefault="00BF0397">
      <w:pPr>
        <w:rPr>
          <w:rFonts w:cs="Times New Roman"/>
          <w:sz w:val="23"/>
          <w:szCs w:val="23"/>
        </w:rPr>
      </w:pPr>
      <w:bookmarkStart w:id="1" w:name="_Guidelines_and_Criteria"/>
      <w:bookmarkEnd w:id="1"/>
    </w:p>
    <w:sectPr w:rsidR="00BF0397" w:rsidRPr="00AE25E6" w:rsidSect="00B273D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6F6" w:rsidRDefault="006C06F6" w:rsidP="006C06F6">
      <w:pPr>
        <w:spacing w:after="0" w:line="240" w:lineRule="auto"/>
      </w:pPr>
      <w:r>
        <w:separator/>
      </w:r>
    </w:p>
  </w:endnote>
  <w:endnote w:type="continuationSeparator" w:id="0">
    <w:p w:rsidR="006C06F6" w:rsidRDefault="006C06F6" w:rsidP="006C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870435"/>
      <w:docPartObj>
        <w:docPartGallery w:val="Page Numbers (Bottom of Page)"/>
        <w:docPartUnique/>
      </w:docPartObj>
    </w:sdtPr>
    <w:sdtEndPr>
      <w:rPr>
        <w:noProof/>
      </w:rPr>
    </w:sdtEndPr>
    <w:sdtContent>
      <w:p w:rsidR="006C06F6" w:rsidRDefault="006C06F6">
        <w:pPr>
          <w:pStyle w:val="Footer"/>
          <w:jc w:val="center"/>
        </w:pPr>
        <w:r>
          <w:fldChar w:fldCharType="begin"/>
        </w:r>
        <w:r>
          <w:instrText xml:space="preserve"> PAGE   \* MERGEFORMAT </w:instrText>
        </w:r>
        <w:r>
          <w:fldChar w:fldCharType="separate"/>
        </w:r>
        <w:r w:rsidR="00836639">
          <w:rPr>
            <w:noProof/>
          </w:rPr>
          <w:t>6</w:t>
        </w:r>
        <w:r>
          <w:rPr>
            <w:noProof/>
          </w:rPr>
          <w:fldChar w:fldCharType="end"/>
        </w:r>
      </w:p>
    </w:sdtContent>
  </w:sdt>
  <w:p w:rsidR="006C06F6" w:rsidRDefault="006C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6F6" w:rsidRDefault="006C06F6" w:rsidP="006C06F6">
      <w:pPr>
        <w:spacing w:after="0" w:line="240" w:lineRule="auto"/>
      </w:pPr>
      <w:r>
        <w:separator/>
      </w:r>
    </w:p>
  </w:footnote>
  <w:footnote w:type="continuationSeparator" w:id="0">
    <w:p w:rsidR="006C06F6" w:rsidRDefault="006C06F6" w:rsidP="006C0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DA270E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0F607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453672"/>
    <w:multiLevelType w:val="hybridMultilevel"/>
    <w:tmpl w:val="CE2279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59498F"/>
    <w:multiLevelType w:val="hybridMultilevel"/>
    <w:tmpl w:val="BC220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F6C59"/>
    <w:multiLevelType w:val="hybridMultilevel"/>
    <w:tmpl w:val="9C60AAAC"/>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56"/>
    <w:rsid w:val="000168EE"/>
    <w:rsid w:val="0002681C"/>
    <w:rsid w:val="0025536C"/>
    <w:rsid w:val="00262301"/>
    <w:rsid w:val="00264127"/>
    <w:rsid w:val="002C0335"/>
    <w:rsid w:val="002C1AE4"/>
    <w:rsid w:val="00301C51"/>
    <w:rsid w:val="0032691B"/>
    <w:rsid w:val="00366BC5"/>
    <w:rsid w:val="00397090"/>
    <w:rsid w:val="003F03E2"/>
    <w:rsid w:val="003F57CB"/>
    <w:rsid w:val="00486B87"/>
    <w:rsid w:val="004A329A"/>
    <w:rsid w:val="0052732C"/>
    <w:rsid w:val="00572184"/>
    <w:rsid w:val="005B308B"/>
    <w:rsid w:val="00644076"/>
    <w:rsid w:val="00691AA6"/>
    <w:rsid w:val="006C06F6"/>
    <w:rsid w:val="007D01FD"/>
    <w:rsid w:val="00807C6C"/>
    <w:rsid w:val="00836639"/>
    <w:rsid w:val="00851386"/>
    <w:rsid w:val="0087215D"/>
    <w:rsid w:val="008D2B86"/>
    <w:rsid w:val="008E5E31"/>
    <w:rsid w:val="009921D0"/>
    <w:rsid w:val="009E08D0"/>
    <w:rsid w:val="00A16B10"/>
    <w:rsid w:val="00A53545"/>
    <w:rsid w:val="00AA5AE3"/>
    <w:rsid w:val="00AB64D2"/>
    <w:rsid w:val="00AE25E6"/>
    <w:rsid w:val="00B164B7"/>
    <w:rsid w:val="00B22F8B"/>
    <w:rsid w:val="00B257B8"/>
    <w:rsid w:val="00B26066"/>
    <w:rsid w:val="00B273D0"/>
    <w:rsid w:val="00B50E6D"/>
    <w:rsid w:val="00B53DD6"/>
    <w:rsid w:val="00B95E41"/>
    <w:rsid w:val="00BC69FD"/>
    <w:rsid w:val="00BF0397"/>
    <w:rsid w:val="00CA1622"/>
    <w:rsid w:val="00CE455B"/>
    <w:rsid w:val="00D63860"/>
    <w:rsid w:val="00D64944"/>
    <w:rsid w:val="00D71487"/>
    <w:rsid w:val="00DD46B6"/>
    <w:rsid w:val="00E05756"/>
    <w:rsid w:val="00E37508"/>
    <w:rsid w:val="00E53E3C"/>
    <w:rsid w:val="00EB0487"/>
    <w:rsid w:val="00F122A4"/>
    <w:rsid w:val="00F631A0"/>
    <w:rsid w:val="00FE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7A34"/>
  <w15:docId w15:val="{2DC2BDD2-ABFF-4E22-A384-30135D8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2F8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22F8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397"/>
    <w:rPr>
      <w:sz w:val="16"/>
      <w:szCs w:val="16"/>
    </w:rPr>
  </w:style>
  <w:style w:type="paragraph" w:styleId="CommentText">
    <w:name w:val="annotation text"/>
    <w:basedOn w:val="Normal"/>
    <w:link w:val="CommentTextChar"/>
    <w:uiPriority w:val="99"/>
    <w:semiHidden/>
    <w:unhideWhenUsed/>
    <w:rsid w:val="00BF0397"/>
    <w:pPr>
      <w:spacing w:line="240" w:lineRule="auto"/>
    </w:pPr>
    <w:rPr>
      <w:sz w:val="20"/>
      <w:szCs w:val="20"/>
    </w:rPr>
  </w:style>
  <w:style w:type="character" w:customStyle="1" w:styleId="CommentTextChar">
    <w:name w:val="Comment Text Char"/>
    <w:basedOn w:val="DefaultParagraphFont"/>
    <w:link w:val="CommentText"/>
    <w:uiPriority w:val="99"/>
    <w:semiHidden/>
    <w:rsid w:val="00BF0397"/>
    <w:rPr>
      <w:sz w:val="20"/>
      <w:szCs w:val="20"/>
    </w:rPr>
  </w:style>
  <w:style w:type="paragraph" w:styleId="BalloonText">
    <w:name w:val="Balloon Text"/>
    <w:basedOn w:val="Normal"/>
    <w:link w:val="BalloonTextChar"/>
    <w:uiPriority w:val="99"/>
    <w:semiHidden/>
    <w:unhideWhenUsed/>
    <w:rsid w:val="00BF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5E41"/>
    <w:rPr>
      <w:b/>
      <w:bCs/>
    </w:rPr>
  </w:style>
  <w:style w:type="character" w:customStyle="1" w:styleId="CommentSubjectChar">
    <w:name w:val="Comment Subject Char"/>
    <w:basedOn w:val="CommentTextChar"/>
    <w:link w:val="CommentSubject"/>
    <w:uiPriority w:val="99"/>
    <w:semiHidden/>
    <w:rsid w:val="00B95E41"/>
    <w:rPr>
      <w:b/>
      <w:bCs/>
      <w:sz w:val="20"/>
      <w:szCs w:val="20"/>
    </w:rPr>
  </w:style>
  <w:style w:type="character" w:customStyle="1" w:styleId="Heading1Char">
    <w:name w:val="Heading 1 Char"/>
    <w:basedOn w:val="DefaultParagraphFont"/>
    <w:link w:val="Heading1"/>
    <w:uiPriority w:val="9"/>
    <w:rsid w:val="00B22F8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22F8B"/>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B22F8B"/>
    <w:pPr>
      <w:numPr>
        <w:numId w:val="1"/>
      </w:numPr>
      <w:spacing w:after="200" w:line="276" w:lineRule="auto"/>
      <w:contextualSpacing/>
    </w:pPr>
    <w:rPr>
      <w:rFonts w:eastAsiaTheme="minorEastAsia"/>
    </w:rPr>
  </w:style>
  <w:style w:type="paragraph" w:styleId="ListNumber">
    <w:name w:val="List Number"/>
    <w:basedOn w:val="Normal"/>
    <w:uiPriority w:val="99"/>
    <w:unhideWhenUsed/>
    <w:rsid w:val="00B22F8B"/>
    <w:pPr>
      <w:numPr>
        <w:numId w:val="2"/>
      </w:numPr>
      <w:spacing w:after="200" w:line="276" w:lineRule="auto"/>
      <w:contextualSpacing/>
    </w:pPr>
    <w:rPr>
      <w:rFonts w:eastAsiaTheme="minorEastAsia"/>
    </w:rPr>
  </w:style>
  <w:style w:type="paragraph" w:styleId="IntenseQuote">
    <w:name w:val="Intense Quote"/>
    <w:basedOn w:val="Normal"/>
    <w:next w:val="Normal"/>
    <w:link w:val="IntenseQuoteChar"/>
    <w:uiPriority w:val="30"/>
    <w:qFormat/>
    <w:rsid w:val="00B22F8B"/>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B22F8B"/>
    <w:rPr>
      <w:rFonts w:eastAsiaTheme="minorEastAsia"/>
      <w:b/>
      <w:bCs/>
      <w:i/>
      <w:iCs/>
      <w:color w:val="5B9BD5" w:themeColor="accent1"/>
    </w:rPr>
  </w:style>
  <w:style w:type="character" w:styleId="Hyperlink">
    <w:name w:val="Hyperlink"/>
    <w:basedOn w:val="DefaultParagraphFont"/>
    <w:uiPriority w:val="99"/>
    <w:unhideWhenUsed/>
    <w:rsid w:val="00CE455B"/>
    <w:rPr>
      <w:color w:val="0563C1" w:themeColor="hyperlink"/>
      <w:u w:val="single"/>
    </w:rPr>
  </w:style>
  <w:style w:type="character" w:styleId="FollowedHyperlink">
    <w:name w:val="FollowedHyperlink"/>
    <w:basedOn w:val="DefaultParagraphFont"/>
    <w:uiPriority w:val="99"/>
    <w:semiHidden/>
    <w:unhideWhenUsed/>
    <w:rsid w:val="00CE455B"/>
    <w:rPr>
      <w:color w:val="954F72" w:themeColor="followedHyperlink"/>
      <w:u w:val="single"/>
    </w:rPr>
  </w:style>
  <w:style w:type="paragraph" w:styleId="ListParagraph">
    <w:name w:val="List Paragraph"/>
    <w:basedOn w:val="Normal"/>
    <w:uiPriority w:val="34"/>
    <w:qFormat/>
    <w:rsid w:val="00AA5AE3"/>
    <w:pPr>
      <w:ind w:left="720"/>
      <w:contextualSpacing/>
    </w:pPr>
  </w:style>
  <w:style w:type="paragraph" w:customStyle="1" w:styleId="Default">
    <w:name w:val="Default"/>
    <w:rsid w:val="00A5354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E3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0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6F6"/>
  </w:style>
  <w:style w:type="paragraph" w:styleId="Footer">
    <w:name w:val="footer"/>
    <w:basedOn w:val="Normal"/>
    <w:link w:val="FooterChar"/>
    <w:uiPriority w:val="99"/>
    <w:unhideWhenUsed/>
    <w:rsid w:val="006C0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7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AE99-55E1-4FD2-83D7-333AE645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LADOJ</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Emily</dc:creator>
  <cp:lastModifiedBy>Meah Johnson</cp:lastModifiedBy>
  <cp:revision>17</cp:revision>
  <dcterms:created xsi:type="dcterms:W3CDTF">2025-11-10T21:31:00Z</dcterms:created>
  <dcterms:modified xsi:type="dcterms:W3CDTF">2025-11-14T22:05:00Z</dcterms:modified>
</cp:coreProperties>
</file>